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6B0" w:rsidRDefault="001216B0" w:rsidP="00C762FD">
      <w:pPr>
        <w:spacing w:line="240" w:lineRule="auto"/>
        <w:rPr>
          <w:rFonts w:ascii="Arial" w:eastAsia="Times New Roman" w:hAnsi="Arial" w:cs="Arial"/>
          <w:b/>
          <w:u w:val="single"/>
        </w:rPr>
      </w:pPr>
      <w:bookmarkStart w:id="0" w:name="_GoBack"/>
      <w:bookmarkEnd w:id="0"/>
    </w:p>
    <w:p w:rsidR="00655251" w:rsidRDefault="00655251" w:rsidP="00C762FD">
      <w:pPr>
        <w:spacing w:line="240" w:lineRule="auto"/>
        <w:rPr>
          <w:rFonts w:ascii="Arial" w:eastAsia="Times New Roman" w:hAnsi="Arial" w:cs="Arial"/>
          <w:b/>
          <w:u w:val="single"/>
        </w:rPr>
      </w:pPr>
    </w:p>
    <w:p w:rsidR="00655251" w:rsidRDefault="00655251" w:rsidP="00C762FD">
      <w:pPr>
        <w:spacing w:line="240" w:lineRule="auto"/>
        <w:rPr>
          <w:rFonts w:ascii="Arial" w:eastAsia="Times New Roman" w:hAnsi="Arial" w:cs="Arial"/>
          <w:b/>
          <w:u w:val="single"/>
        </w:rPr>
      </w:pPr>
    </w:p>
    <w:p w:rsidR="00C762FD" w:rsidRPr="00C762FD" w:rsidRDefault="00C762FD" w:rsidP="00C762FD">
      <w:pPr>
        <w:spacing w:line="240" w:lineRule="auto"/>
        <w:rPr>
          <w:rFonts w:ascii="Arial" w:eastAsia="Times New Roman" w:hAnsi="Arial" w:cs="Arial"/>
          <w:b/>
          <w:u w:val="single"/>
        </w:rPr>
      </w:pPr>
      <w:r w:rsidRPr="00C762FD">
        <w:rPr>
          <w:rFonts w:ascii="Arial" w:eastAsia="Times New Roman" w:hAnsi="Arial" w:cs="Arial"/>
          <w:b/>
          <w:u w:val="single"/>
        </w:rPr>
        <w:t>Employment law - Dismissing Staff</w:t>
      </w:r>
    </w:p>
    <w:p w:rsidR="00C762FD" w:rsidRPr="00C762FD" w:rsidRDefault="00C762FD" w:rsidP="00C762FD">
      <w:pPr>
        <w:spacing w:line="240" w:lineRule="auto"/>
        <w:rPr>
          <w:rFonts w:ascii="Arial" w:eastAsia="Times New Roman" w:hAnsi="Arial" w:cs="Arial"/>
          <w:b/>
          <w:u w:val="single"/>
        </w:rPr>
      </w:pPr>
    </w:p>
    <w:p w:rsidR="00C762FD" w:rsidRPr="00C762FD" w:rsidRDefault="00C762FD" w:rsidP="00C762FD">
      <w:pPr>
        <w:spacing w:line="240" w:lineRule="auto"/>
        <w:jc w:val="center"/>
        <w:rPr>
          <w:rFonts w:ascii="Arial" w:hAnsi="Arial" w:cs="Arial"/>
          <w:b/>
        </w:rPr>
      </w:pPr>
      <w:r w:rsidRPr="00C762FD">
        <w:rPr>
          <w:rFonts w:ascii="Arial" w:hAnsi="Arial" w:cs="Arial"/>
          <w:b/>
        </w:rPr>
        <w:t>Unfair dismissal – steps to avoid it</w:t>
      </w:r>
    </w:p>
    <w:p w:rsidR="00C762FD" w:rsidRPr="00C762FD" w:rsidRDefault="00C762FD" w:rsidP="00C762FD">
      <w:pPr>
        <w:spacing w:line="240" w:lineRule="auto"/>
        <w:jc w:val="both"/>
        <w:rPr>
          <w:rFonts w:ascii="Arial" w:hAnsi="Arial" w:cs="Arial"/>
        </w:rPr>
      </w:pPr>
      <w:r w:rsidRPr="00C762FD">
        <w:rPr>
          <w:rFonts w:ascii="Arial" w:hAnsi="Arial" w:cs="Arial"/>
        </w:rPr>
        <w:t xml:space="preserve">The requirements of unfair dismissal are set out under s 385 of the </w:t>
      </w:r>
      <w:r w:rsidRPr="00C762FD">
        <w:rPr>
          <w:rFonts w:ascii="Arial" w:hAnsi="Arial" w:cs="Arial"/>
          <w:i/>
        </w:rPr>
        <w:t>Fair Work Act 2009</w:t>
      </w:r>
      <w:r w:rsidRPr="00C762FD">
        <w:rPr>
          <w:rFonts w:ascii="Arial" w:hAnsi="Arial" w:cs="Arial"/>
        </w:rPr>
        <w:t xml:space="preserve"> (</w:t>
      </w:r>
      <w:proofErr w:type="spellStart"/>
      <w:r w:rsidRPr="00C762FD">
        <w:rPr>
          <w:rFonts w:ascii="Arial" w:hAnsi="Arial" w:cs="Arial"/>
        </w:rPr>
        <w:t>Cth</w:t>
      </w:r>
      <w:proofErr w:type="spellEnd"/>
      <w:r w:rsidRPr="00C762FD">
        <w:rPr>
          <w:rFonts w:ascii="Arial" w:hAnsi="Arial" w:cs="Arial"/>
        </w:rPr>
        <w:t>) (“</w:t>
      </w:r>
      <w:r w:rsidRPr="00C762FD">
        <w:rPr>
          <w:rFonts w:ascii="Arial" w:hAnsi="Arial" w:cs="Arial"/>
          <w:b/>
        </w:rPr>
        <w:t>Act</w:t>
      </w:r>
      <w:r w:rsidRPr="00C762FD">
        <w:rPr>
          <w:rFonts w:ascii="Arial" w:hAnsi="Arial" w:cs="Arial"/>
        </w:rPr>
        <w:t>”).  The Fair Work Commission (“</w:t>
      </w:r>
      <w:r w:rsidRPr="00C762FD">
        <w:rPr>
          <w:rFonts w:ascii="Arial" w:hAnsi="Arial" w:cs="Arial"/>
          <w:b/>
        </w:rPr>
        <w:t>FWC</w:t>
      </w:r>
      <w:r w:rsidRPr="00C762FD">
        <w:rPr>
          <w:rFonts w:ascii="Arial" w:hAnsi="Arial" w:cs="Arial"/>
        </w:rPr>
        <w:t>”) will be satisfied that a person has been “unfairly dismissed” provided that:</w:t>
      </w:r>
    </w:p>
    <w:p w:rsidR="00C762FD" w:rsidRPr="00C762FD" w:rsidRDefault="00C762FD" w:rsidP="00C762FD">
      <w:pPr>
        <w:numPr>
          <w:ilvl w:val="0"/>
          <w:numId w:val="1"/>
        </w:numPr>
        <w:spacing w:line="240" w:lineRule="auto"/>
        <w:ind w:left="851" w:hanging="567"/>
        <w:contextualSpacing/>
        <w:jc w:val="both"/>
        <w:rPr>
          <w:rFonts w:ascii="Arial" w:hAnsi="Arial" w:cs="Arial"/>
        </w:rPr>
      </w:pPr>
      <w:r w:rsidRPr="00C762FD">
        <w:rPr>
          <w:rFonts w:ascii="Arial" w:hAnsi="Arial" w:cs="Arial"/>
        </w:rPr>
        <w:t>The person has been dismissed;</w:t>
      </w:r>
    </w:p>
    <w:p w:rsidR="00C762FD" w:rsidRPr="00C762FD" w:rsidRDefault="00C762FD" w:rsidP="00C762FD">
      <w:pPr>
        <w:spacing w:line="240" w:lineRule="auto"/>
        <w:ind w:left="851" w:hanging="567"/>
        <w:contextualSpacing/>
        <w:jc w:val="both"/>
        <w:rPr>
          <w:rFonts w:ascii="Arial" w:hAnsi="Arial" w:cs="Arial"/>
        </w:rPr>
      </w:pPr>
    </w:p>
    <w:p w:rsidR="00C762FD" w:rsidRPr="00C762FD" w:rsidRDefault="00C762FD" w:rsidP="00C762FD">
      <w:pPr>
        <w:numPr>
          <w:ilvl w:val="0"/>
          <w:numId w:val="1"/>
        </w:numPr>
        <w:spacing w:line="240" w:lineRule="auto"/>
        <w:ind w:left="851" w:hanging="567"/>
        <w:contextualSpacing/>
        <w:jc w:val="both"/>
        <w:rPr>
          <w:rFonts w:ascii="Arial" w:hAnsi="Arial" w:cs="Arial"/>
        </w:rPr>
      </w:pPr>
      <w:r w:rsidRPr="00C762FD">
        <w:rPr>
          <w:rFonts w:ascii="Arial" w:hAnsi="Arial" w:cs="Arial"/>
        </w:rPr>
        <w:t>The dismissal was harsh, unjust or unreasonable;</w:t>
      </w:r>
    </w:p>
    <w:p w:rsidR="00C762FD" w:rsidRPr="00C762FD" w:rsidRDefault="00C762FD" w:rsidP="00C762FD">
      <w:pPr>
        <w:spacing w:line="240" w:lineRule="auto"/>
        <w:ind w:left="851" w:hanging="567"/>
        <w:contextualSpacing/>
        <w:jc w:val="both"/>
        <w:rPr>
          <w:rFonts w:ascii="Arial" w:hAnsi="Arial" w:cs="Arial"/>
        </w:rPr>
      </w:pPr>
    </w:p>
    <w:p w:rsidR="00C762FD" w:rsidRPr="00C762FD" w:rsidRDefault="00C762FD" w:rsidP="00C762FD">
      <w:pPr>
        <w:numPr>
          <w:ilvl w:val="0"/>
          <w:numId w:val="1"/>
        </w:numPr>
        <w:spacing w:line="240" w:lineRule="auto"/>
        <w:ind w:left="851" w:hanging="567"/>
        <w:contextualSpacing/>
        <w:jc w:val="both"/>
        <w:rPr>
          <w:rFonts w:ascii="Arial" w:hAnsi="Arial" w:cs="Arial"/>
        </w:rPr>
      </w:pPr>
      <w:r w:rsidRPr="00C762FD">
        <w:rPr>
          <w:rFonts w:ascii="Arial" w:hAnsi="Arial" w:cs="Arial"/>
        </w:rPr>
        <w:t>The dismissal was not consistent with the Small Business Fair Dismissal Code; and</w:t>
      </w:r>
    </w:p>
    <w:p w:rsidR="00C762FD" w:rsidRPr="00C762FD" w:rsidRDefault="00C762FD" w:rsidP="00C762FD">
      <w:pPr>
        <w:spacing w:line="240" w:lineRule="auto"/>
        <w:ind w:left="851" w:hanging="567"/>
        <w:contextualSpacing/>
        <w:jc w:val="both"/>
        <w:rPr>
          <w:rFonts w:ascii="Arial" w:hAnsi="Arial" w:cs="Arial"/>
        </w:rPr>
      </w:pPr>
    </w:p>
    <w:p w:rsidR="00C762FD" w:rsidRDefault="00C762FD" w:rsidP="00C762FD">
      <w:pPr>
        <w:numPr>
          <w:ilvl w:val="0"/>
          <w:numId w:val="1"/>
        </w:numPr>
        <w:spacing w:line="240" w:lineRule="auto"/>
        <w:ind w:left="851" w:hanging="567"/>
        <w:contextualSpacing/>
        <w:jc w:val="both"/>
        <w:rPr>
          <w:rFonts w:ascii="Arial" w:hAnsi="Arial" w:cs="Arial"/>
        </w:rPr>
      </w:pPr>
      <w:r w:rsidRPr="00C762FD">
        <w:rPr>
          <w:rFonts w:ascii="Arial" w:hAnsi="Arial" w:cs="Arial"/>
        </w:rPr>
        <w:t>The dismissal was not a case of genuine redundancy.</w:t>
      </w:r>
    </w:p>
    <w:p w:rsidR="000344D5" w:rsidRPr="00C762FD" w:rsidRDefault="000344D5" w:rsidP="000344D5">
      <w:pPr>
        <w:spacing w:line="240" w:lineRule="auto"/>
        <w:contextualSpacing/>
        <w:jc w:val="both"/>
        <w:rPr>
          <w:rFonts w:ascii="Arial" w:hAnsi="Arial" w:cs="Arial"/>
        </w:rPr>
      </w:pPr>
    </w:p>
    <w:p w:rsidR="00C762FD" w:rsidRPr="00C762FD" w:rsidRDefault="00C762FD" w:rsidP="00C762FD">
      <w:pPr>
        <w:spacing w:line="240" w:lineRule="auto"/>
        <w:jc w:val="both"/>
        <w:rPr>
          <w:rFonts w:ascii="Arial" w:hAnsi="Arial" w:cs="Arial"/>
        </w:rPr>
      </w:pPr>
    </w:p>
    <w:p w:rsidR="00C762FD" w:rsidRPr="00C762FD" w:rsidRDefault="00C762FD" w:rsidP="00C762FD">
      <w:pPr>
        <w:spacing w:line="240" w:lineRule="auto"/>
        <w:jc w:val="both"/>
        <w:rPr>
          <w:rFonts w:ascii="Arial" w:hAnsi="Arial" w:cs="Arial"/>
          <w:b/>
          <w:u w:val="single"/>
        </w:rPr>
      </w:pPr>
      <w:r w:rsidRPr="00C762FD">
        <w:rPr>
          <w:rFonts w:ascii="Arial" w:hAnsi="Arial" w:cs="Arial"/>
          <w:b/>
          <w:u w:val="single"/>
        </w:rPr>
        <w:t>1. Has the person been dismissed?</w:t>
      </w:r>
    </w:p>
    <w:p w:rsidR="00C762FD" w:rsidRPr="00C762FD" w:rsidRDefault="00C762FD" w:rsidP="00C762FD">
      <w:pPr>
        <w:spacing w:line="240" w:lineRule="auto"/>
        <w:jc w:val="both"/>
        <w:rPr>
          <w:rFonts w:ascii="Arial" w:hAnsi="Arial" w:cs="Arial"/>
        </w:rPr>
      </w:pPr>
      <w:r w:rsidRPr="00C762FD">
        <w:rPr>
          <w:rFonts w:ascii="Arial" w:hAnsi="Arial" w:cs="Arial"/>
        </w:rPr>
        <w:t>The first step in determining that an unfair dismissal occurred requires the employee to have been dismissed in accordance with s 386(1) of the Act.  This involves a situation where:</w:t>
      </w:r>
    </w:p>
    <w:p w:rsidR="00C762FD" w:rsidRPr="00C762FD" w:rsidRDefault="001216B0" w:rsidP="00C762FD">
      <w:pPr>
        <w:numPr>
          <w:ilvl w:val="0"/>
          <w:numId w:val="3"/>
        </w:numPr>
        <w:spacing w:line="240" w:lineRule="auto"/>
        <w:ind w:left="851" w:hanging="567"/>
        <w:contextualSpacing/>
        <w:jc w:val="both"/>
        <w:rPr>
          <w:rFonts w:ascii="Arial" w:hAnsi="Arial" w:cs="Arial"/>
        </w:rPr>
      </w:pPr>
      <w:r>
        <w:rPr>
          <w:rFonts w:ascii="Arial" w:hAnsi="Arial" w:cs="Arial"/>
        </w:rPr>
        <w:t xml:space="preserve">The employee </w:t>
      </w:r>
      <w:r w:rsidR="00C762FD" w:rsidRPr="00C762FD">
        <w:rPr>
          <w:rFonts w:ascii="Arial" w:hAnsi="Arial" w:cs="Arial"/>
        </w:rPr>
        <w:t>has been terminated at the employer’s initiative, or</w:t>
      </w:r>
    </w:p>
    <w:p w:rsidR="00C762FD" w:rsidRPr="00C762FD" w:rsidRDefault="00C762FD" w:rsidP="00C762FD">
      <w:pPr>
        <w:spacing w:line="240" w:lineRule="auto"/>
        <w:ind w:left="851" w:hanging="567"/>
        <w:contextualSpacing/>
        <w:jc w:val="both"/>
        <w:rPr>
          <w:rFonts w:ascii="Arial" w:hAnsi="Arial" w:cs="Arial"/>
        </w:rPr>
      </w:pPr>
    </w:p>
    <w:p w:rsidR="00C762FD" w:rsidRDefault="001216B0" w:rsidP="00C762FD">
      <w:pPr>
        <w:numPr>
          <w:ilvl w:val="0"/>
          <w:numId w:val="3"/>
        </w:numPr>
        <w:spacing w:line="240" w:lineRule="auto"/>
        <w:ind w:left="851" w:hanging="567"/>
        <w:contextualSpacing/>
        <w:jc w:val="both"/>
        <w:rPr>
          <w:rFonts w:ascii="Arial" w:hAnsi="Arial" w:cs="Arial"/>
        </w:rPr>
      </w:pPr>
      <w:r>
        <w:rPr>
          <w:rFonts w:ascii="Arial" w:hAnsi="Arial" w:cs="Arial"/>
        </w:rPr>
        <w:t xml:space="preserve">The employee </w:t>
      </w:r>
      <w:r w:rsidR="00C762FD" w:rsidRPr="00C762FD">
        <w:rPr>
          <w:rFonts w:ascii="Arial" w:hAnsi="Arial" w:cs="Arial"/>
        </w:rPr>
        <w:t>was forced to resign because of the conduct or course of conduct engaged in by the employer.</w:t>
      </w:r>
    </w:p>
    <w:p w:rsidR="000344D5" w:rsidRPr="00C762FD" w:rsidRDefault="000344D5" w:rsidP="000344D5">
      <w:pPr>
        <w:spacing w:line="240" w:lineRule="auto"/>
        <w:contextualSpacing/>
        <w:jc w:val="both"/>
        <w:rPr>
          <w:rFonts w:ascii="Arial" w:hAnsi="Arial" w:cs="Arial"/>
        </w:rPr>
      </w:pPr>
    </w:p>
    <w:p w:rsidR="00C762FD" w:rsidRPr="00C762FD" w:rsidRDefault="00C762FD" w:rsidP="00C762FD">
      <w:pPr>
        <w:spacing w:line="240" w:lineRule="auto"/>
        <w:jc w:val="both"/>
        <w:rPr>
          <w:rFonts w:ascii="Arial" w:hAnsi="Arial" w:cs="Arial"/>
        </w:rPr>
      </w:pPr>
      <w:r w:rsidRPr="00C762FD">
        <w:rPr>
          <w:rFonts w:ascii="Arial" w:hAnsi="Arial" w:cs="Arial"/>
        </w:rPr>
        <w:t>Essentially, there must be action by the employer that “either intends to bring the relationship to an end or has that probable result”</w:t>
      </w:r>
      <w:r w:rsidR="00124FEF">
        <w:rPr>
          <w:rStyle w:val="FootnoteReference"/>
          <w:rFonts w:ascii="Arial" w:hAnsi="Arial" w:cs="Arial"/>
        </w:rPr>
        <w:footnoteReference w:id="1"/>
      </w:r>
      <w:r w:rsidRPr="00C762FD">
        <w:rPr>
          <w:rFonts w:ascii="Arial" w:hAnsi="Arial" w:cs="Arial"/>
        </w:rPr>
        <w:t>.  In determining this, consideration is given to all of the circumstances surrounding the dismissal, including the conduct of both employer and employee.</w:t>
      </w:r>
    </w:p>
    <w:p w:rsidR="00C762FD" w:rsidRPr="00C762FD" w:rsidRDefault="00C762FD" w:rsidP="00C762FD">
      <w:pPr>
        <w:spacing w:line="240" w:lineRule="auto"/>
        <w:jc w:val="both"/>
        <w:rPr>
          <w:rFonts w:ascii="Arial" w:hAnsi="Arial" w:cs="Arial"/>
        </w:rPr>
      </w:pPr>
      <w:r w:rsidRPr="00C762FD">
        <w:rPr>
          <w:rFonts w:ascii="Arial" w:hAnsi="Arial" w:cs="Arial"/>
        </w:rPr>
        <w:t>A forced resignation will occur when an employee has no real choice but to resign</w:t>
      </w:r>
      <w:r w:rsidR="00124FEF">
        <w:rPr>
          <w:rStyle w:val="FootnoteReference"/>
          <w:rFonts w:ascii="Arial" w:hAnsi="Arial" w:cs="Arial"/>
        </w:rPr>
        <w:footnoteReference w:id="2"/>
      </w:r>
      <w:r w:rsidRPr="00C762FD">
        <w:rPr>
          <w:rFonts w:ascii="Arial" w:hAnsi="Arial" w:cs="Arial"/>
        </w:rPr>
        <w:t>.  The onus is on the employee to prove that they did not voluntarily resign and that the employer forced their resignation</w:t>
      </w:r>
      <w:r w:rsidR="00124FEF">
        <w:rPr>
          <w:rStyle w:val="FootnoteReference"/>
          <w:rFonts w:ascii="Arial" w:hAnsi="Arial" w:cs="Arial"/>
        </w:rPr>
        <w:footnoteReference w:id="3"/>
      </w:r>
      <w:r w:rsidRPr="00C762FD">
        <w:rPr>
          <w:rFonts w:ascii="Arial" w:hAnsi="Arial" w:cs="Arial"/>
        </w:rPr>
        <w:t xml:space="preserve">.  </w:t>
      </w:r>
    </w:p>
    <w:p w:rsidR="00C762FD" w:rsidRDefault="00C762FD" w:rsidP="00C762FD">
      <w:pPr>
        <w:spacing w:line="240" w:lineRule="auto"/>
        <w:jc w:val="both"/>
        <w:rPr>
          <w:rFonts w:ascii="Arial" w:hAnsi="Arial" w:cs="Arial"/>
        </w:rPr>
      </w:pPr>
      <w:r w:rsidRPr="00C762FD">
        <w:rPr>
          <w:rFonts w:ascii="Arial" w:hAnsi="Arial" w:cs="Arial"/>
        </w:rPr>
        <w:t>Section 386(2) of the Act provides a list of examples where an employee is not deemed to have been dismissed i.e. where a person was employed for a specified period of time, or demotion (but employee retains the same or si</w:t>
      </w:r>
      <w:r w:rsidR="001216B0">
        <w:rPr>
          <w:rFonts w:ascii="Arial" w:hAnsi="Arial" w:cs="Arial"/>
        </w:rPr>
        <w:t>milar remuneration and duties):</w:t>
      </w:r>
    </w:p>
    <w:p w:rsidR="001216B0" w:rsidRDefault="001216B0" w:rsidP="001216B0">
      <w:pPr>
        <w:pStyle w:val="ListParagraph"/>
        <w:numPr>
          <w:ilvl w:val="0"/>
          <w:numId w:val="19"/>
        </w:numPr>
        <w:spacing w:line="240" w:lineRule="auto"/>
        <w:jc w:val="both"/>
        <w:rPr>
          <w:rFonts w:ascii="Arial" w:hAnsi="Arial" w:cs="Arial"/>
        </w:rPr>
      </w:pPr>
      <w:r>
        <w:rPr>
          <w:rFonts w:ascii="Arial" w:hAnsi="Arial" w:cs="Arial"/>
        </w:rPr>
        <w:t xml:space="preserve">A person was employed for a specific period of time (fixed term contract); </w:t>
      </w:r>
    </w:p>
    <w:p w:rsidR="001216B0" w:rsidRDefault="001216B0" w:rsidP="001216B0">
      <w:pPr>
        <w:pStyle w:val="ListParagraph"/>
        <w:numPr>
          <w:ilvl w:val="0"/>
          <w:numId w:val="19"/>
        </w:numPr>
        <w:spacing w:line="240" w:lineRule="auto"/>
        <w:jc w:val="both"/>
        <w:rPr>
          <w:rFonts w:ascii="Arial" w:hAnsi="Arial" w:cs="Arial"/>
        </w:rPr>
      </w:pPr>
      <w:r>
        <w:rPr>
          <w:rFonts w:ascii="Arial" w:hAnsi="Arial" w:cs="Arial"/>
        </w:rPr>
        <w:t>A person was employed for a specific task and that task is completed;</w:t>
      </w:r>
    </w:p>
    <w:p w:rsidR="001216B0" w:rsidRDefault="001216B0" w:rsidP="001216B0">
      <w:pPr>
        <w:pStyle w:val="ListParagraph"/>
        <w:numPr>
          <w:ilvl w:val="0"/>
          <w:numId w:val="19"/>
        </w:numPr>
        <w:spacing w:line="240" w:lineRule="auto"/>
        <w:jc w:val="both"/>
        <w:rPr>
          <w:rFonts w:ascii="Arial" w:hAnsi="Arial" w:cs="Arial"/>
        </w:rPr>
      </w:pPr>
      <w:r>
        <w:rPr>
          <w:rFonts w:ascii="Arial" w:hAnsi="Arial" w:cs="Arial"/>
        </w:rPr>
        <w:t>A person is demoted (but employee retains the same/similar pay and duties); and</w:t>
      </w:r>
    </w:p>
    <w:p w:rsidR="001216B0" w:rsidRPr="001216B0" w:rsidRDefault="001216B0" w:rsidP="001216B0">
      <w:pPr>
        <w:pStyle w:val="ListParagraph"/>
        <w:numPr>
          <w:ilvl w:val="0"/>
          <w:numId w:val="19"/>
        </w:numPr>
        <w:spacing w:line="240" w:lineRule="auto"/>
        <w:jc w:val="both"/>
        <w:rPr>
          <w:rFonts w:ascii="Arial" w:hAnsi="Arial" w:cs="Arial"/>
        </w:rPr>
      </w:pPr>
      <w:r>
        <w:rPr>
          <w:rFonts w:ascii="Arial" w:hAnsi="Arial" w:cs="Arial"/>
        </w:rPr>
        <w:t xml:space="preserve">A person was employed for training only and that training was completed.  </w:t>
      </w:r>
    </w:p>
    <w:p w:rsidR="00C762FD" w:rsidRDefault="00C762FD" w:rsidP="00C762FD">
      <w:pPr>
        <w:spacing w:line="240" w:lineRule="auto"/>
        <w:jc w:val="both"/>
        <w:rPr>
          <w:rFonts w:ascii="Arial" w:hAnsi="Arial" w:cs="Arial"/>
        </w:rPr>
      </w:pPr>
      <w:r w:rsidRPr="00C762FD">
        <w:rPr>
          <w:rFonts w:ascii="Arial" w:hAnsi="Arial" w:cs="Arial"/>
        </w:rPr>
        <w:lastRenderedPageBreak/>
        <w:t>It is important to note that demotion may constitute dismissal where an employee is demoted without consent and suffers a significant reduction in pay</w:t>
      </w:r>
      <w:r w:rsidR="00774BF9">
        <w:rPr>
          <w:rFonts w:ascii="Arial" w:hAnsi="Arial" w:cs="Arial"/>
        </w:rPr>
        <w:t xml:space="preserve"> and/or duties</w:t>
      </w:r>
      <w:r w:rsidRPr="00C762FD">
        <w:rPr>
          <w:rFonts w:ascii="Arial" w:hAnsi="Arial" w:cs="Arial"/>
        </w:rPr>
        <w:t>.  If the employee accepts the employer’s repudiation, the contract is then terminated</w:t>
      </w:r>
      <w:r w:rsidR="00124FEF">
        <w:rPr>
          <w:rStyle w:val="FootnoteReference"/>
          <w:rFonts w:ascii="Arial" w:hAnsi="Arial" w:cs="Arial"/>
        </w:rPr>
        <w:footnoteReference w:id="4"/>
      </w:r>
      <w:r w:rsidRPr="00C762FD">
        <w:rPr>
          <w:rFonts w:ascii="Arial" w:hAnsi="Arial" w:cs="Arial"/>
        </w:rPr>
        <w:t>.</w:t>
      </w:r>
    </w:p>
    <w:p w:rsidR="00C762FD" w:rsidRPr="000344D5" w:rsidRDefault="00C762FD" w:rsidP="00C762FD">
      <w:pPr>
        <w:spacing w:line="240" w:lineRule="auto"/>
        <w:jc w:val="both"/>
        <w:rPr>
          <w:rFonts w:ascii="Arial" w:hAnsi="Arial" w:cs="Arial"/>
          <w:b/>
          <w:u w:val="single"/>
        </w:rPr>
      </w:pPr>
      <w:r w:rsidRPr="000344D5">
        <w:rPr>
          <w:rFonts w:ascii="Arial" w:hAnsi="Arial" w:cs="Arial"/>
          <w:b/>
          <w:u w:val="single"/>
        </w:rPr>
        <w:t xml:space="preserve">2. </w:t>
      </w:r>
      <w:proofErr w:type="gramStart"/>
      <w:r w:rsidRPr="000344D5">
        <w:rPr>
          <w:rFonts w:ascii="Arial" w:hAnsi="Arial" w:cs="Arial"/>
          <w:b/>
          <w:u w:val="single"/>
        </w:rPr>
        <w:t>Was</w:t>
      </w:r>
      <w:proofErr w:type="gramEnd"/>
      <w:r w:rsidRPr="000344D5">
        <w:rPr>
          <w:rFonts w:ascii="Arial" w:hAnsi="Arial" w:cs="Arial"/>
          <w:b/>
          <w:u w:val="single"/>
        </w:rPr>
        <w:t xml:space="preserve"> the dismissal “harsh, unjust or unreasonable”?</w:t>
      </w:r>
    </w:p>
    <w:p w:rsidR="00C762FD" w:rsidRPr="00C762FD" w:rsidRDefault="00C762FD" w:rsidP="00C762FD">
      <w:pPr>
        <w:spacing w:line="240" w:lineRule="auto"/>
        <w:jc w:val="both"/>
        <w:rPr>
          <w:rFonts w:ascii="Arial" w:hAnsi="Arial" w:cs="Arial"/>
        </w:rPr>
      </w:pPr>
      <w:r w:rsidRPr="00C762FD">
        <w:rPr>
          <w:rFonts w:ascii="Arial" w:hAnsi="Arial" w:cs="Arial"/>
        </w:rPr>
        <w:t xml:space="preserve">The criteria for determining whether a dismissal was “harsh, unjust or unreasonable” are set out in s 387 of the Act.  The criteria below forms the foundation of our checklist of things which an employer should take into account when dismissing an employee; however there are other factors which play a crucial role in the dismissal process. </w:t>
      </w:r>
    </w:p>
    <w:p w:rsidR="00C762FD" w:rsidRPr="00C762FD" w:rsidRDefault="00C762FD" w:rsidP="00C762FD">
      <w:pPr>
        <w:spacing w:line="240" w:lineRule="auto"/>
        <w:jc w:val="both"/>
        <w:rPr>
          <w:rFonts w:ascii="Arial" w:hAnsi="Arial" w:cs="Arial"/>
        </w:rPr>
      </w:pPr>
      <w:r w:rsidRPr="00C762FD">
        <w:rPr>
          <w:rFonts w:ascii="Arial" w:hAnsi="Arial" w:cs="Arial"/>
        </w:rPr>
        <w:t>This checklist is set out chronologically and is not reflective of each step’s level of importance:</w:t>
      </w:r>
    </w:p>
    <w:p w:rsidR="00C762FD" w:rsidRPr="00C762FD" w:rsidRDefault="00C762FD" w:rsidP="00C762FD">
      <w:pPr>
        <w:spacing w:line="240" w:lineRule="auto"/>
        <w:jc w:val="both"/>
        <w:rPr>
          <w:rFonts w:ascii="Arial" w:hAnsi="Arial" w:cs="Arial"/>
          <w:u w:val="single"/>
        </w:rPr>
      </w:pPr>
      <w:r w:rsidRPr="00C762FD">
        <w:rPr>
          <w:rFonts w:ascii="Arial" w:hAnsi="Arial" w:cs="Arial"/>
          <w:u w:val="single"/>
        </w:rPr>
        <w:t>Dismissal checklist</w:t>
      </w:r>
    </w:p>
    <w:p w:rsidR="00C762FD" w:rsidRPr="00C762FD" w:rsidRDefault="00774BF9" w:rsidP="00C762FD">
      <w:pPr>
        <w:numPr>
          <w:ilvl w:val="0"/>
          <w:numId w:val="2"/>
        </w:numPr>
        <w:spacing w:line="240" w:lineRule="auto"/>
        <w:ind w:left="567" w:hanging="567"/>
        <w:contextualSpacing/>
        <w:jc w:val="both"/>
        <w:rPr>
          <w:rFonts w:ascii="Arial" w:hAnsi="Arial" w:cs="Arial"/>
          <w:b/>
        </w:rPr>
      </w:pPr>
      <w:r>
        <w:rPr>
          <w:rFonts w:ascii="Arial" w:hAnsi="Arial" w:cs="Arial"/>
          <w:b/>
        </w:rPr>
        <w:t>Policy and Procedure</w:t>
      </w:r>
    </w:p>
    <w:p w:rsidR="00C762FD" w:rsidRPr="00C762FD" w:rsidRDefault="00C762FD" w:rsidP="00C762FD">
      <w:pPr>
        <w:spacing w:line="240" w:lineRule="auto"/>
        <w:ind w:left="567"/>
        <w:contextualSpacing/>
        <w:jc w:val="both"/>
        <w:rPr>
          <w:rFonts w:ascii="Arial" w:hAnsi="Arial" w:cs="Arial"/>
          <w:b/>
        </w:rPr>
      </w:pPr>
    </w:p>
    <w:p w:rsidR="00C762FD" w:rsidRPr="00C762FD" w:rsidRDefault="00C762FD" w:rsidP="00C762FD">
      <w:pPr>
        <w:numPr>
          <w:ilvl w:val="0"/>
          <w:numId w:val="7"/>
        </w:numPr>
        <w:spacing w:line="240" w:lineRule="auto"/>
        <w:ind w:left="993" w:hanging="426"/>
        <w:contextualSpacing/>
        <w:jc w:val="both"/>
        <w:rPr>
          <w:rFonts w:ascii="Arial" w:hAnsi="Arial" w:cs="Arial"/>
        </w:rPr>
      </w:pPr>
      <w:r w:rsidRPr="00C762FD">
        <w:rPr>
          <w:rFonts w:ascii="Arial" w:hAnsi="Arial" w:cs="Arial"/>
        </w:rPr>
        <w:t xml:space="preserve">The first step employers should take to avoid unfair dismissal is to implement clear and unambiguous policies on issues such as dismissal.  For example, a dismissal policy should specify any </w:t>
      </w:r>
      <w:r w:rsidR="00774BF9">
        <w:rPr>
          <w:rFonts w:ascii="Arial" w:hAnsi="Arial" w:cs="Arial"/>
        </w:rPr>
        <w:t xml:space="preserve">conduct </w:t>
      </w:r>
      <w:r w:rsidRPr="00C762FD">
        <w:rPr>
          <w:rFonts w:ascii="Arial" w:hAnsi="Arial" w:cs="Arial"/>
        </w:rPr>
        <w:t>which would constitute breaches of the employment contract as well as the consequences and resolution process.  The prudent employer will have a long non-exhaustive list of conduct that will amount to serious misconduct.</w:t>
      </w:r>
    </w:p>
    <w:p w:rsidR="00C762FD" w:rsidRPr="00C762FD" w:rsidRDefault="00C762FD" w:rsidP="00C762FD">
      <w:pPr>
        <w:spacing w:line="240" w:lineRule="auto"/>
        <w:ind w:left="993" w:hanging="426"/>
        <w:contextualSpacing/>
        <w:jc w:val="both"/>
        <w:rPr>
          <w:rFonts w:ascii="Arial" w:hAnsi="Arial" w:cs="Arial"/>
        </w:rPr>
      </w:pPr>
    </w:p>
    <w:p w:rsidR="00C762FD" w:rsidRPr="00C762FD" w:rsidRDefault="00C762FD" w:rsidP="00C762FD">
      <w:pPr>
        <w:numPr>
          <w:ilvl w:val="0"/>
          <w:numId w:val="7"/>
        </w:numPr>
        <w:spacing w:line="240" w:lineRule="auto"/>
        <w:ind w:left="993" w:hanging="426"/>
        <w:contextualSpacing/>
        <w:jc w:val="both"/>
        <w:rPr>
          <w:rFonts w:ascii="Arial" w:hAnsi="Arial" w:cs="Arial"/>
        </w:rPr>
      </w:pPr>
      <w:r w:rsidRPr="00C762FD">
        <w:rPr>
          <w:rFonts w:ascii="Arial" w:hAnsi="Arial" w:cs="Arial"/>
        </w:rPr>
        <w:t>Once the policy has been drafted, employers must ensure that the policy known to employees.  This can be easily achieved by making the policy known and available to all employees.  Provided the policy is known and followed, an employee will have fewer reasons to challenge their dismissal on this basis.</w:t>
      </w:r>
    </w:p>
    <w:p w:rsidR="00C762FD" w:rsidRPr="00C762FD" w:rsidRDefault="00C762FD" w:rsidP="00C762FD">
      <w:pPr>
        <w:spacing w:line="240" w:lineRule="auto"/>
        <w:ind w:left="567"/>
        <w:contextualSpacing/>
        <w:jc w:val="both"/>
        <w:rPr>
          <w:rFonts w:ascii="Arial" w:hAnsi="Arial" w:cs="Arial"/>
        </w:rPr>
      </w:pPr>
    </w:p>
    <w:p w:rsidR="00C762FD" w:rsidRPr="00C762FD" w:rsidRDefault="00C762FD" w:rsidP="00C762FD">
      <w:pPr>
        <w:numPr>
          <w:ilvl w:val="0"/>
          <w:numId w:val="2"/>
        </w:numPr>
        <w:spacing w:line="240" w:lineRule="auto"/>
        <w:ind w:left="567" w:hanging="567"/>
        <w:contextualSpacing/>
        <w:jc w:val="both"/>
        <w:rPr>
          <w:rFonts w:ascii="Arial" w:hAnsi="Arial" w:cs="Arial"/>
          <w:b/>
        </w:rPr>
      </w:pPr>
      <w:r w:rsidRPr="00C762FD">
        <w:rPr>
          <w:rFonts w:ascii="Arial" w:hAnsi="Arial" w:cs="Arial"/>
          <w:b/>
        </w:rPr>
        <w:t>Staff records</w:t>
      </w:r>
    </w:p>
    <w:p w:rsidR="00C762FD" w:rsidRPr="00C762FD" w:rsidRDefault="00C762FD" w:rsidP="00C762FD">
      <w:pPr>
        <w:spacing w:line="240" w:lineRule="auto"/>
        <w:ind w:left="567"/>
        <w:contextualSpacing/>
        <w:jc w:val="both"/>
        <w:rPr>
          <w:rFonts w:ascii="Arial" w:hAnsi="Arial" w:cs="Arial"/>
          <w:b/>
        </w:rPr>
      </w:pPr>
    </w:p>
    <w:p w:rsidR="00C762FD" w:rsidRPr="00C762FD" w:rsidRDefault="00C762FD" w:rsidP="00C762FD">
      <w:pPr>
        <w:numPr>
          <w:ilvl w:val="0"/>
          <w:numId w:val="8"/>
        </w:numPr>
        <w:spacing w:line="240" w:lineRule="auto"/>
        <w:ind w:left="1134" w:hanging="567"/>
        <w:contextualSpacing/>
        <w:jc w:val="both"/>
        <w:rPr>
          <w:rFonts w:ascii="Arial" w:hAnsi="Arial" w:cs="Arial"/>
        </w:rPr>
      </w:pPr>
      <w:r w:rsidRPr="00C762FD">
        <w:rPr>
          <w:rFonts w:ascii="Arial" w:hAnsi="Arial" w:cs="Arial"/>
        </w:rPr>
        <w:t>Employers should keep a record of all the information relevant to their relationship with employees.  The employer should note any major events, such as, grievances, disputes, or conversations during meetings.  Keeping a record of this information will help refresh the employer’s memory, particularly when making critical decisions relevant the employee’s employment.</w:t>
      </w:r>
    </w:p>
    <w:p w:rsidR="00C762FD" w:rsidRPr="00C762FD" w:rsidRDefault="00C762FD" w:rsidP="00C762FD">
      <w:pPr>
        <w:spacing w:line="240" w:lineRule="auto"/>
        <w:ind w:left="567"/>
        <w:contextualSpacing/>
        <w:jc w:val="both"/>
        <w:rPr>
          <w:rFonts w:ascii="Arial" w:hAnsi="Arial" w:cs="Arial"/>
        </w:rPr>
      </w:pPr>
    </w:p>
    <w:p w:rsidR="00C762FD" w:rsidRPr="00C762FD" w:rsidRDefault="00C762FD" w:rsidP="00C762FD">
      <w:pPr>
        <w:numPr>
          <w:ilvl w:val="0"/>
          <w:numId w:val="2"/>
        </w:numPr>
        <w:spacing w:line="240" w:lineRule="auto"/>
        <w:ind w:left="567" w:hanging="567"/>
        <w:contextualSpacing/>
        <w:jc w:val="both"/>
        <w:rPr>
          <w:rFonts w:ascii="Arial" w:hAnsi="Arial" w:cs="Arial"/>
          <w:b/>
        </w:rPr>
      </w:pPr>
      <w:r w:rsidRPr="00C762FD">
        <w:rPr>
          <w:rFonts w:ascii="Arial" w:hAnsi="Arial" w:cs="Arial"/>
          <w:b/>
        </w:rPr>
        <w:t xml:space="preserve">Valid reason for dismissal relating to the person’s capacity or conduct </w:t>
      </w:r>
      <w:r w:rsidRPr="00124FEF">
        <w:rPr>
          <w:rFonts w:ascii="Arial" w:hAnsi="Arial" w:cs="Arial"/>
          <w:b/>
        </w:rPr>
        <w:t>(s 387(a))</w:t>
      </w:r>
    </w:p>
    <w:p w:rsidR="00C762FD" w:rsidRPr="00C762FD" w:rsidRDefault="00C762FD" w:rsidP="00C762FD">
      <w:pPr>
        <w:spacing w:line="240" w:lineRule="auto"/>
        <w:ind w:left="567"/>
        <w:contextualSpacing/>
        <w:jc w:val="both"/>
        <w:rPr>
          <w:rFonts w:ascii="Arial" w:hAnsi="Arial" w:cs="Arial"/>
          <w:b/>
        </w:rPr>
      </w:pPr>
    </w:p>
    <w:p w:rsidR="00C762FD" w:rsidRPr="00C762FD" w:rsidRDefault="00C762FD" w:rsidP="00C762FD">
      <w:pPr>
        <w:numPr>
          <w:ilvl w:val="0"/>
          <w:numId w:val="8"/>
        </w:numPr>
        <w:spacing w:line="240" w:lineRule="auto"/>
        <w:ind w:left="1134" w:hanging="567"/>
        <w:contextualSpacing/>
        <w:jc w:val="both"/>
        <w:rPr>
          <w:rFonts w:ascii="Arial" w:hAnsi="Arial" w:cs="Arial"/>
        </w:rPr>
      </w:pPr>
      <w:r w:rsidRPr="00C762FD">
        <w:rPr>
          <w:rFonts w:ascii="Arial" w:hAnsi="Arial" w:cs="Arial"/>
        </w:rPr>
        <w:t>According to case law, the reason for dismissal must be “sound, defensible or well founded.”  A reason which is “capricious, fanciful, spiteful or prejudicial” cannot be a “valid reason” for the purposes of s 387(a) of the Act</w:t>
      </w:r>
      <w:r w:rsidR="00124FEF">
        <w:rPr>
          <w:rStyle w:val="FootnoteReference"/>
          <w:rFonts w:ascii="Arial" w:hAnsi="Arial" w:cs="Arial"/>
        </w:rPr>
        <w:footnoteReference w:id="5"/>
      </w:r>
      <w:r w:rsidRPr="00C762FD">
        <w:rPr>
          <w:rFonts w:ascii="Arial" w:hAnsi="Arial" w:cs="Arial"/>
        </w:rPr>
        <w:t>.</w:t>
      </w:r>
    </w:p>
    <w:p w:rsidR="00C762FD" w:rsidRPr="00C762FD" w:rsidRDefault="00C762FD" w:rsidP="00C762FD">
      <w:pPr>
        <w:spacing w:line="240" w:lineRule="auto"/>
        <w:ind w:left="1134" w:hanging="567"/>
        <w:contextualSpacing/>
        <w:jc w:val="both"/>
        <w:rPr>
          <w:rFonts w:ascii="Arial" w:hAnsi="Arial" w:cs="Arial"/>
        </w:rPr>
      </w:pPr>
    </w:p>
    <w:p w:rsidR="00C762FD" w:rsidRPr="00C762FD" w:rsidRDefault="00C762FD" w:rsidP="00C762FD">
      <w:pPr>
        <w:numPr>
          <w:ilvl w:val="0"/>
          <w:numId w:val="8"/>
        </w:numPr>
        <w:spacing w:line="240" w:lineRule="auto"/>
        <w:ind w:left="1134" w:hanging="567"/>
        <w:contextualSpacing/>
        <w:jc w:val="both"/>
        <w:rPr>
          <w:rFonts w:ascii="Arial" w:hAnsi="Arial" w:cs="Arial"/>
        </w:rPr>
      </w:pPr>
      <w:r w:rsidRPr="00C762FD">
        <w:rPr>
          <w:rFonts w:ascii="Arial" w:hAnsi="Arial" w:cs="Arial"/>
        </w:rPr>
        <w:t>The appropriate test for capacity is whether the work was performed satisfactorily when looked at objectively</w:t>
      </w:r>
      <w:r w:rsidR="00124FEF">
        <w:rPr>
          <w:rStyle w:val="FootnoteReference"/>
          <w:rFonts w:ascii="Arial" w:hAnsi="Arial" w:cs="Arial"/>
        </w:rPr>
        <w:footnoteReference w:id="6"/>
      </w:r>
      <w:r w:rsidRPr="00C762FD">
        <w:rPr>
          <w:rFonts w:ascii="Arial" w:hAnsi="Arial" w:cs="Arial"/>
        </w:rPr>
        <w:t>.</w:t>
      </w:r>
    </w:p>
    <w:p w:rsidR="00C762FD" w:rsidRPr="00C762FD" w:rsidRDefault="00C762FD" w:rsidP="00C762FD">
      <w:pPr>
        <w:spacing w:line="240" w:lineRule="auto"/>
        <w:ind w:left="1134" w:hanging="567"/>
        <w:contextualSpacing/>
        <w:jc w:val="both"/>
        <w:rPr>
          <w:rFonts w:ascii="Arial" w:hAnsi="Arial" w:cs="Arial"/>
        </w:rPr>
      </w:pPr>
    </w:p>
    <w:p w:rsidR="00C762FD" w:rsidRDefault="00C762FD" w:rsidP="00C762FD">
      <w:pPr>
        <w:numPr>
          <w:ilvl w:val="0"/>
          <w:numId w:val="8"/>
        </w:numPr>
        <w:spacing w:line="240" w:lineRule="auto"/>
        <w:ind w:left="1134" w:hanging="567"/>
        <w:contextualSpacing/>
        <w:jc w:val="both"/>
        <w:rPr>
          <w:rFonts w:ascii="Arial" w:hAnsi="Arial" w:cs="Arial"/>
        </w:rPr>
      </w:pPr>
      <w:r w:rsidRPr="00C762FD">
        <w:rPr>
          <w:rFonts w:ascii="Arial" w:hAnsi="Arial" w:cs="Arial"/>
        </w:rPr>
        <w:t>To determine a valid reason relating to the conduct of an employee, the FWC must determine whether, on the balance of probabilities, the conduct allegedly engage in by the employee actually occurred</w:t>
      </w:r>
      <w:r w:rsidR="00124FEF">
        <w:rPr>
          <w:rStyle w:val="FootnoteReference"/>
          <w:rFonts w:ascii="Arial" w:hAnsi="Arial" w:cs="Arial"/>
        </w:rPr>
        <w:footnoteReference w:id="7"/>
      </w:r>
      <w:r w:rsidRPr="00C762FD">
        <w:rPr>
          <w:rFonts w:ascii="Arial" w:hAnsi="Arial" w:cs="Arial"/>
        </w:rPr>
        <w:t>.</w:t>
      </w:r>
    </w:p>
    <w:p w:rsidR="000344D5" w:rsidRPr="00C762FD" w:rsidRDefault="000344D5" w:rsidP="000344D5">
      <w:pPr>
        <w:spacing w:line="240" w:lineRule="auto"/>
        <w:ind w:left="1134"/>
        <w:contextualSpacing/>
        <w:jc w:val="both"/>
        <w:rPr>
          <w:rFonts w:ascii="Arial" w:hAnsi="Arial" w:cs="Arial"/>
        </w:rPr>
      </w:pPr>
    </w:p>
    <w:p w:rsidR="00C762FD" w:rsidRPr="00C762FD" w:rsidRDefault="00C762FD" w:rsidP="00C762FD">
      <w:pPr>
        <w:numPr>
          <w:ilvl w:val="0"/>
          <w:numId w:val="2"/>
        </w:numPr>
        <w:spacing w:line="240" w:lineRule="auto"/>
        <w:ind w:left="567" w:hanging="567"/>
        <w:contextualSpacing/>
        <w:jc w:val="both"/>
        <w:rPr>
          <w:rFonts w:ascii="Arial" w:hAnsi="Arial" w:cs="Arial"/>
          <w:b/>
        </w:rPr>
      </w:pPr>
      <w:r w:rsidRPr="00C762FD">
        <w:rPr>
          <w:rFonts w:ascii="Arial" w:hAnsi="Arial" w:cs="Arial"/>
          <w:b/>
        </w:rPr>
        <w:lastRenderedPageBreak/>
        <w:t>Avoiding summary dismissal (where possible)</w:t>
      </w:r>
    </w:p>
    <w:p w:rsidR="00C762FD" w:rsidRPr="00C762FD" w:rsidRDefault="00C762FD" w:rsidP="00C762FD">
      <w:pPr>
        <w:spacing w:line="240" w:lineRule="auto"/>
        <w:ind w:left="567"/>
        <w:contextualSpacing/>
        <w:jc w:val="both"/>
        <w:rPr>
          <w:rFonts w:ascii="Arial" w:hAnsi="Arial" w:cs="Arial"/>
          <w:b/>
        </w:rPr>
      </w:pPr>
    </w:p>
    <w:p w:rsidR="00C762FD" w:rsidRPr="00C762FD" w:rsidRDefault="00C762FD" w:rsidP="00C762FD">
      <w:pPr>
        <w:numPr>
          <w:ilvl w:val="0"/>
          <w:numId w:val="9"/>
        </w:numPr>
        <w:spacing w:line="240" w:lineRule="auto"/>
        <w:ind w:left="1134" w:hanging="567"/>
        <w:contextualSpacing/>
        <w:jc w:val="both"/>
        <w:rPr>
          <w:rFonts w:ascii="Arial" w:hAnsi="Arial" w:cs="Arial"/>
        </w:rPr>
      </w:pPr>
      <w:r w:rsidRPr="00C762FD">
        <w:rPr>
          <w:rFonts w:ascii="Arial" w:hAnsi="Arial" w:cs="Arial"/>
        </w:rPr>
        <w:t>There are very few situations in which an employer can summarily dismiss an employee. However, in the event an employee commits “serious misconduct”</w:t>
      </w:r>
      <w:r w:rsidR="00124FEF">
        <w:rPr>
          <w:rStyle w:val="FootnoteReference"/>
          <w:rFonts w:ascii="Arial" w:hAnsi="Arial" w:cs="Arial"/>
        </w:rPr>
        <w:footnoteReference w:id="8"/>
      </w:r>
      <w:r w:rsidRPr="00C762FD">
        <w:rPr>
          <w:rFonts w:ascii="Arial" w:hAnsi="Arial" w:cs="Arial"/>
        </w:rPr>
        <w:t xml:space="preserve">, a policy should (hopefully) be in place to deal with it. </w:t>
      </w:r>
    </w:p>
    <w:p w:rsidR="00C762FD" w:rsidRPr="00C762FD" w:rsidRDefault="00C762FD" w:rsidP="00C762FD">
      <w:pPr>
        <w:spacing w:line="240" w:lineRule="auto"/>
        <w:ind w:left="1134" w:hanging="567"/>
        <w:contextualSpacing/>
        <w:jc w:val="both"/>
        <w:rPr>
          <w:rFonts w:ascii="Arial" w:hAnsi="Arial" w:cs="Arial"/>
        </w:rPr>
      </w:pPr>
    </w:p>
    <w:p w:rsidR="00C762FD" w:rsidRPr="00C762FD" w:rsidRDefault="00C762FD" w:rsidP="00C762FD">
      <w:pPr>
        <w:numPr>
          <w:ilvl w:val="0"/>
          <w:numId w:val="9"/>
        </w:numPr>
        <w:spacing w:line="240" w:lineRule="auto"/>
        <w:ind w:left="1134" w:hanging="567"/>
        <w:contextualSpacing/>
        <w:jc w:val="both"/>
        <w:rPr>
          <w:rFonts w:ascii="Arial" w:hAnsi="Arial" w:cs="Arial"/>
        </w:rPr>
      </w:pPr>
      <w:r w:rsidRPr="00C762FD">
        <w:rPr>
          <w:rFonts w:ascii="Arial" w:hAnsi="Arial" w:cs="Arial"/>
        </w:rPr>
        <w:t>For example, if an employee assaults another employee, the employer should carefully hear and record both parties recollection of the incident, before coming to any rash decision.</w:t>
      </w:r>
    </w:p>
    <w:p w:rsidR="00C762FD" w:rsidRPr="00C762FD" w:rsidRDefault="00C762FD" w:rsidP="00C762FD">
      <w:pPr>
        <w:spacing w:line="240" w:lineRule="auto"/>
        <w:ind w:left="1134" w:hanging="567"/>
        <w:contextualSpacing/>
        <w:jc w:val="both"/>
        <w:rPr>
          <w:rFonts w:ascii="Arial" w:hAnsi="Arial" w:cs="Arial"/>
        </w:rPr>
      </w:pPr>
    </w:p>
    <w:p w:rsidR="00C762FD" w:rsidRPr="00C762FD" w:rsidRDefault="00C762FD" w:rsidP="00C762FD">
      <w:pPr>
        <w:numPr>
          <w:ilvl w:val="0"/>
          <w:numId w:val="9"/>
        </w:numPr>
        <w:spacing w:line="240" w:lineRule="auto"/>
        <w:ind w:left="1134" w:hanging="567"/>
        <w:contextualSpacing/>
        <w:jc w:val="both"/>
        <w:rPr>
          <w:rFonts w:ascii="Arial" w:hAnsi="Arial" w:cs="Arial"/>
        </w:rPr>
      </w:pPr>
      <w:r w:rsidRPr="00C762FD">
        <w:rPr>
          <w:rFonts w:ascii="Arial" w:hAnsi="Arial" w:cs="Arial"/>
        </w:rPr>
        <w:t>In cases involving summary dismissal, the proportionality of the dismissal may be considered to determine if the penalty was disproportionate to the conduct complained of (s 387(h)).</w:t>
      </w:r>
    </w:p>
    <w:p w:rsidR="00C762FD" w:rsidRPr="00C762FD" w:rsidRDefault="00C762FD" w:rsidP="00C762FD">
      <w:pPr>
        <w:spacing w:line="240" w:lineRule="auto"/>
        <w:ind w:left="567"/>
        <w:contextualSpacing/>
        <w:jc w:val="both"/>
        <w:rPr>
          <w:rFonts w:ascii="Arial" w:hAnsi="Arial" w:cs="Arial"/>
        </w:rPr>
      </w:pPr>
    </w:p>
    <w:p w:rsidR="00C762FD" w:rsidRPr="00C762FD" w:rsidRDefault="00C762FD" w:rsidP="00C762FD">
      <w:pPr>
        <w:numPr>
          <w:ilvl w:val="0"/>
          <w:numId w:val="2"/>
        </w:numPr>
        <w:spacing w:line="240" w:lineRule="auto"/>
        <w:ind w:left="567" w:hanging="567"/>
        <w:contextualSpacing/>
        <w:jc w:val="both"/>
        <w:rPr>
          <w:rFonts w:ascii="Arial" w:hAnsi="Arial" w:cs="Arial"/>
          <w:b/>
        </w:rPr>
      </w:pPr>
      <w:r w:rsidRPr="00C762FD">
        <w:rPr>
          <w:rFonts w:ascii="Arial" w:hAnsi="Arial" w:cs="Arial"/>
          <w:b/>
        </w:rPr>
        <w:t xml:space="preserve">Notification of reason for dismissal </w:t>
      </w:r>
      <w:r w:rsidRPr="00124FEF">
        <w:rPr>
          <w:rFonts w:ascii="Arial" w:hAnsi="Arial" w:cs="Arial"/>
          <w:b/>
        </w:rPr>
        <w:t>(s 387(b))</w:t>
      </w:r>
    </w:p>
    <w:p w:rsidR="00C762FD" w:rsidRPr="00C762FD" w:rsidRDefault="00C762FD" w:rsidP="00C762FD">
      <w:pPr>
        <w:spacing w:line="240" w:lineRule="auto"/>
        <w:ind w:left="567"/>
        <w:contextualSpacing/>
        <w:jc w:val="both"/>
        <w:rPr>
          <w:rFonts w:ascii="Arial" w:hAnsi="Arial" w:cs="Arial"/>
          <w:b/>
        </w:rPr>
      </w:pPr>
    </w:p>
    <w:p w:rsidR="00C762FD" w:rsidRPr="00C762FD" w:rsidRDefault="00C762FD" w:rsidP="00C762FD">
      <w:pPr>
        <w:numPr>
          <w:ilvl w:val="0"/>
          <w:numId w:val="10"/>
        </w:numPr>
        <w:spacing w:line="240" w:lineRule="auto"/>
        <w:ind w:left="1134" w:hanging="567"/>
        <w:contextualSpacing/>
        <w:jc w:val="both"/>
        <w:rPr>
          <w:rFonts w:ascii="Arial" w:hAnsi="Arial" w:cs="Arial"/>
        </w:rPr>
      </w:pPr>
      <w:r w:rsidRPr="00C762FD">
        <w:rPr>
          <w:rFonts w:ascii="Arial" w:hAnsi="Arial" w:cs="Arial"/>
        </w:rPr>
        <w:t>If the employer has determined a valid reason for dismissal, the employer is required to notify the employee of the valid reason to dismiss the employee:</w:t>
      </w:r>
    </w:p>
    <w:p w:rsidR="00C762FD" w:rsidRPr="00C762FD" w:rsidRDefault="00C762FD" w:rsidP="00C762FD">
      <w:pPr>
        <w:spacing w:line="240" w:lineRule="auto"/>
        <w:ind w:left="1134" w:hanging="567"/>
        <w:contextualSpacing/>
        <w:jc w:val="both"/>
        <w:rPr>
          <w:rFonts w:ascii="Arial" w:hAnsi="Arial" w:cs="Arial"/>
        </w:rPr>
      </w:pPr>
    </w:p>
    <w:p w:rsidR="00C762FD" w:rsidRPr="00C762FD" w:rsidRDefault="00C762FD" w:rsidP="00C762FD">
      <w:pPr>
        <w:numPr>
          <w:ilvl w:val="1"/>
          <w:numId w:val="10"/>
        </w:numPr>
        <w:spacing w:line="240" w:lineRule="auto"/>
        <w:ind w:left="1701" w:hanging="567"/>
        <w:contextualSpacing/>
        <w:jc w:val="both"/>
        <w:rPr>
          <w:rFonts w:ascii="Arial" w:hAnsi="Arial" w:cs="Arial"/>
        </w:rPr>
      </w:pPr>
      <w:r w:rsidRPr="00C762FD">
        <w:rPr>
          <w:rFonts w:ascii="Arial" w:hAnsi="Arial" w:cs="Arial"/>
        </w:rPr>
        <w:t>Before the decision to terminate is made;</w:t>
      </w:r>
    </w:p>
    <w:p w:rsidR="00C762FD" w:rsidRPr="00C762FD" w:rsidRDefault="00C762FD" w:rsidP="00C762FD">
      <w:pPr>
        <w:spacing w:line="240" w:lineRule="auto"/>
        <w:ind w:left="1701" w:hanging="567"/>
        <w:contextualSpacing/>
        <w:jc w:val="both"/>
        <w:rPr>
          <w:rFonts w:ascii="Arial" w:hAnsi="Arial" w:cs="Arial"/>
        </w:rPr>
      </w:pPr>
    </w:p>
    <w:p w:rsidR="00C762FD" w:rsidRPr="00C762FD" w:rsidRDefault="00C762FD" w:rsidP="00C762FD">
      <w:pPr>
        <w:numPr>
          <w:ilvl w:val="1"/>
          <w:numId w:val="10"/>
        </w:numPr>
        <w:spacing w:line="240" w:lineRule="auto"/>
        <w:ind w:left="1701" w:hanging="567"/>
        <w:contextualSpacing/>
        <w:jc w:val="both"/>
        <w:rPr>
          <w:rFonts w:ascii="Arial" w:hAnsi="Arial" w:cs="Arial"/>
        </w:rPr>
      </w:pPr>
      <w:r w:rsidRPr="00C762FD">
        <w:rPr>
          <w:rFonts w:ascii="Arial" w:hAnsi="Arial" w:cs="Arial"/>
        </w:rPr>
        <w:t>In explicit terms; and</w:t>
      </w:r>
    </w:p>
    <w:p w:rsidR="00C762FD" w:rsidRPr="00C762FD" w:rsidRDefault="00C762FD" w:rsidP="00C762FD">
      <w:pPr>
        <w:spacing w:line="240" w:lineRule="auto"/>
        <w:ind w:left="1701" w:hanging="567"/>
        <w:contextualSpacing/>
        <w:jc w:val="both"/>
        <w:rPr>
          <w:rFonts w:ascii="Arial" w:hAnsi="Arial" w:cs="Arial"/>
        </w:rPr>
      </w:pPr>
    </w:p>
    <w:p w:rsidR="00C762FD" w:rsidRPr="00C762FD" w:rsidRDefault="00C762FD" w:rsidP="00C762FD">
      <w:pPr>
        <w:numPr>
          <w:ilvl w:val="1"/>
          <w:numId w:val="10"/>
        </w:numPr>
        <w:spacing w:line="240" w:lineRule="auto"/>
        <w:ind w:left="1701" w:hanging="567"/>
        <w:contextualSpacing/>
        <w:jc w:val="both"/>
        <w:rPr>
          <w:rFonts w:ascii="Arial" w:hAnsi="Arial" w:cs="Arial"/>
        </w:rPr>
      </w:pPr>
      <w:r w:rsidRPr="00C762FD">
        <w:rPr>
          <w:rFonts w:ascii="Arial" w:hAnsi="Arial" w:cs="Arial"/>
        </w:rPr>
        <w:t>In plain and clear terms</w:t>
      </w:r>
    </w:p>
    <w:p w:rsidR="00C762FD" w:rsidRPr="00C762FD" w:rsidRDefault="00C762FD" w:rsidP="00C762FD">
      <w:pPr>
        <w:spacing w:line="240" w:lineRule="auto"/>
        <w:ind w:left="1134" w:hanging="567"/>
        <w:contextualSpacing/>
        <w:jc w:val="both"/>
        <w:rPr>
          <w:rFonts w:ascii="Arial" w:hAnsi="Arial" w:cs="Arial"/>
        </w:rPr>
      </w:pPr>
    </w:p>
    <w:p w:rsidR="00C762FD" w:rsidRPr="00C762FD" w:rsidRDefault="00C762FD" w:rsidP="00C762FD">
      <w:pPr>
        <w:numPr>
          <w:ilvl w:val="0"/>
          <w:numId w:val="10"/>
        </w:numPr>
        <w:spacing w:line="240" w:lineRule="auto"/>
        <w:ind w:left="1134" w:hanging="567"/>
        <w:contextualSpacing/>
        <w:jc w:val="both"/>
        <w:rPr>
          <w:rFonts w:ascii="Arial" w:hAnsi="Arial" w:cs="Arial"/>
        </w:rPr>
      </w:pPr>
      <w:r w:rsidRPr="00C762FD">
        <w:rPr>
          <w:rFonts w:ascii="Arial" w:hAnsi="Arial" w:cs="Arial"/>
        </w:rPr>
        <w:t>The threshold for satisfying the notification requirements is not a high one.  The FWC considered that sending a letter to an employee without advising failure to respond may result in termination was valid notification</w:t>
      </w:r>
      <w:r w:rsidR="00124FEF">
        <w:rPr>
          <w:rStyle w:val="FootnoteReference"/>
          <w:rFonts w:ascii="Arial" w:hAnsi="Arial" w:cs="Arial"/>
        </w:rPr>
        <w:footnoteReference w:id="9"/>
      </w:r>
      <w:r w:rsidRPr="00C762FD">
        <w:rPr>
          <w:rFonts w:ascii="Arial" w:hAnsi="Arial" w:cs="Arial"/>
        </w:rPr>
        <w:t>.</w:t>
      </w:r>
    </w:p>
    <w:p w:rsidR="00C762FD" w:rsidRPr="00C762FD" w:rsidRDefault="00C762FD" w:rsidP="00C762FD">
      <w:pPr>
        <w:spacing w:line="240" w:lineRule="auto"/>
        <w:ind w:left="1134"/>
        <w:contextualSpacing/>
        <w:jc w:val="both"/>
        <w:rPr>
          <w:rFonts w:ascii="Arial" w:hAnsi="Arial" w:cs="Arial"/>
        </w:rPr>
      </w:pPr>
    </w:p>
    <w:p w:rsidR="00C762FD" w:rsidRPr="00C762FD" w:rsidRDefault="00C762FD" w:rsidP="00C762FD">
      <w:pPr>
        <w:numPr>
          <w:ilvl w:val="0"/>
          <w:numId w:val="10"/>
        </w:numPr>
        <w:spacing w:line="240" w:lineRule="auto"/>
        <w:ind w:left="1134" w:hanging="567"/>
        <w:contextualSpacing/>
        <w:jc w:val="both"/>
        <w:rPr>
          <w:rFonts w:ascii="Arial" w:hAnsi="Arial" w:cs="Arial"/>
        </w:rPr>
      </w:pPr>
      <w:r w:rsidRPr="00C762FD">
        <w:rPr>
          <w:rFonts w:ascii="Arial" w:hAnsi="Arial" w:cs="Arial"/>
        </w:rPr>
        <w:t>However, simply dismissing an employee via email without first attempting to contact the employee will not satisfy the notification requirements</w:t>
      </w:r>
      <w:r w:rsidR="00124FEF">
        <w:rPr>
          <w:rStyle w:val="FootnoteReference"/>
          <w:rFonts w:ascii="Arial" w:hAnsi="Arial" w:cs="Arial"/>
        </w:rPr>
        <w:footnoteReference w:id="10"/>
      </w:r>
      <w:r w:rsidRPr="00C762FD">
        <w:rPr>
          <w:rFonts w:ascii="Arial" w:hAnsi="Arial" w:cs="Arial"/>
        </w:rPr>
        <w:t>.</w:t>
      </w:r>
    </w:p>
    <w:p w:rsidR="00C762FD" w:rsidRPr="00C762FD" w:rsidRDefault="00C762FD" w:rsidP="00C762FD">
      <w:pPr>
        <w:spacing w:line="240" w:lineRule="auto"/>
        <w:ind w:left="567"/>
        <w:contextualSpacing/>
        <w:jc w:val="both"/>
        <w:rPr>
          <w:rFonts w:ascii="Arial" w:hAnsi="Arial" w:cs="Arial"/>
        </w:rPr>
      </w:pPr>
      <w:r w:rsidRPr="00C762FD">
        <w:rPr>
          <w:rFonts w:ascii="Arial" w:hAnsi="Arial" w:cs="Arial"/>
        </w:rPr>
        <w:t xml:space="preserve">  </w:t>
      </w:r>
    </w:p>
    <w:p w:rsidR="00C762FD" w:rsidRPr="00C762FD" w:rsidRDefault="00C762FD" w:rsidP="00C762FD">
      <w:pPr>
        <w:numPr>
          <w:ilvl w:val="0"/>
          <w:numId w:val="2"/>
        </w:numPr>
        <w:spacing w:line="240" w:lineRule="auto"/>
        <w:ind w:left="567" w:hanging="567"/>
        <w:contextualSpacing/>
        <w:jc w:val="both"/>
        <w:rPr>
          <w:rFonts w:ascii="Arial" w:hAnsi="Arial" w:cs="Arial"/>
        </w:rPr>
      </w:pPr>
      <w:r w:rsidRPr="00C762FD">
        <w:rPr>
          <w:rFonts w:ascii="Arial" w:hAnsi="Arial" w:cs="Arial"/>
          <w:b/>
        </w:rPr>
        <w:t xml:space="preserve">Opportunity to respond </w:t>
      </w:r>
      <w:r w:rsidRPr="000344D5">
        <w:rPr>
          <w:rFonts w:ascii="Arial" w:hAnsi="Arial" w:cs="Arial"/>
          <w:b/>
        </w:rPr>
        <w:t>(s 397(c))</w:t>
      </w:r>
    </w:p>
    <w:p w:rsidR="00C762FD" w:rsidRPr="00C762FD" w:rsidRDefault="00C762FD" w:rsidP="00C762FD">
      <w:pPr>
        <w:spacing w:line="240" w:lineRule="auto"/>
        <w:ind w:left="567"/>
        <w:contextualSpacing/>
        <w:jc w:val="both"/>
        <w:rPr>
          <w:rFonts w:ascii="Arial" w:hAnsi="Arial" w:cs="Arial"/>
        </w:rPr>
      </w:pPr>
    </w:p>
    <w:p w:rsidR="00C762FD" w:rsidRPr="00C762FD" w:rsidRDefault="00C762FD" w:rsidP="00C762FD">
      <w:pPr>
        <w:numPr>
          <w:ilvl w:val="0"/>
          <w:numId w:val="11"/>
        </w:numPr>
        <w:spacing w:line="240" w:lineRule="auto"/>
        <w:ind w:left="1134" w:hanging="567"/>
        <w:contextualSpacing/>
        <w:jc w:val="both"/>
        <w:rPr>
          <w:rFonts w:ascii="Arial" w:hAnsi="Arial" w:cs="Arial"/>
        </w:rPr>
      </w:pPr>
      <w:r w:rsidRPr="00C762FD">
        <w:rPr>
          <w:rFonts w:ascii="Arial" w:hAnsi="Arial" w:cs="Arial"/>
        </w:rPr>
        <w:t>In addition notifying the employee of the reason for dismissal, the employee must also be given an opportunity to respond to the reason before the decision to terminate is made</w:t>
      </w:r>
      <w:r w:rsidR="00124FEF">
        <w:rPr>
          <w:rStyle w:val="FootnoteReference"/>
          <w:rFonts w:ascii="Arial" w:hAnsi="Arial" w:cs="Arial"/>
        </w:rPr>
        <w:footnoteReference w:id="11"/>
      </w:r>
      <w:r w:rsidRPr="00C762FD">
        <w:rPr>
          <w:rFonts w:ascii="Arial" w:hAnsi="Arial" w:cs="Arial"/>
        </w:rPr>
        <w:t>.</w:t>
      </w:r>
    </w:p>
    <w:p w:rsidR="00C762FD" w:rsidRPr="00C762FD" w:rsidRDefault="00C762FD" w:rsidP="00C762FD">
      <w:pPr>
        <w:spacing w:line="240" w:lineRule="auto"/>
        <w:ind w:left="1134"/>
        <w:contextualSpacing/>
        <w:jc w:val="both"/>
        <w:rPr>
          <w:rFonts w:ascii="Arial" w:hAnsi="Arial" w:cs="Arial"/>
        </w:rPr>
      </w:pPr>
    </w:p>
    <w:p w:rsidR="00C762FD" w:rsidRPr="00C762FD" w:rsidRDefault="00C762FD" w:rsidP="00C762FD">
      <w:pPr>
        <w:numPr>
          <w:ilvl w:val="0"/>
          <w:numId w:val="11"/>
        </w:numPr>
        <w:spacing w:line="240" w:lineRule="auto"/>
        <w:ind w:left="1134" w:hanging="567"/>
        <w:contextualSpacing/>
        <w:jc w:val="both"/>
        <w:rPr>
          <w:rFonts w:ascii="Arial" w:hAnsi="Arial" w:cs="Arial"/>
        </w:rPr>
      </w:pPr>
      <w:r w:rsidRPr="00C762FD">
        <w:rPr>
          <w:rFonts w:ascii="Arial" w:hAnsi="Arial" w:cs="Arial"/>
        </w:rPr>
        <w:t>It is said that where an employee is aware of the employer’s concern about his or her conduct or performance and has a full opportunity to respond to this concern, this is enough to satisfy the requirements of s 397(c) of the Act</w:t>
      </w:r>
      <w:r w:rsidR="00124FEF">
        <w:rPr>
          <w:rStyle w:val="FootnoteReference"/>
          <w:rFonts w:ascii="Arial" w:hAnsi="Arial" w:cs="Arial"/>
        </w:rPr>
        <w:footnoteReference w:id="12"/>
      </w:r>
      <w:r w:rsidRPr="00C762FD">
        <w:rPr>
          <w:rFonts w:ascii="Arial" w:hAnsi="Arial" w:cs="Arial"/>
        </w:rPr>
        <w:t>.</w:t>
      </w:r>
    </w:p>
    <w:p w:rsidR="00C762FD" w:rsidRPr="00C762FD" w:rsidRDefault="00C762FD" w:rsidP="00C762FD">
      <w:pPr>
        <w:spacing w:line="360" w:lineRule="auto"/>
        <w:ind w:left="720"/>
        <w:contextualSpacing/>
        <w:jc w:val="both"/>
        <w:rPr>
          <w:rFonts w:ascii="Arial" w:hAnsi="Arial" w:cs="Arial"/>
        </w:rPr>
      </w:pPr>
    </w:p>
    <w:p w:rsidR="00C762FD" w:rsidRPr="00C762FD" w:rsidRDefault="00C762FD" w:rsidP="00C762FD">
      <w:pPr>
        <w:numPr>
          <w:ilvl w:val="0"/>
          <w:numId w:val="11"/>
        </w:numPr>
        <w:spacing w:line="240" w:lineRule="auto"/>
        <w:ind w:left="1134" w:hanging="567"/>
        <w:contextualSpacing/>
        <w:jc w:val="both"/>
        <w:rPr>
          <w:rFonts w:ascii="Arial" w:hAnsi="Arial" w:cs="Arial"/>
        </w:rPr>
      </w:pPr>
      <w:r w:rsidRPr="00C762FD">
        <w:rPr>
          <w:rFonts w:ascii="Arial" w:hAnsi="Arial" w:cs="Arial"/>
        </w:rPr>
        <w:t>The FWC has determined that an employer reading out a termination letter in a meeting to an employee, failed to provide the employee with an opportunity to respond</w:t>
      </w:r>
      <w:r w:rsidR="00124FEF">
        <w:rPr>
          <w:rStyle w:val="FootnoteReference"/>
          <w:rFonts w:ascii="Arial" w:hAnsi="Arial" w:cs="Arial"/>
        </w:rPr>
        <w:footnoteReference w:id="13"/>
      </w:r>
      <w:r w:rsidRPr="00C762FD">
        <w:rPr>
          <w:rFonts w:ascii="Arial" w:hAnsi="Arial" w:cs="Arial"/>
        </w:rPr>
        <w:t>.</w:t>
      </w:r>
    </w:p>
    <w:p w:rsidR="00C762FD" w:rsidRDefault="00C762FD" w:rsidP="00C762FD">
      <w:pPr>
        <w:spacing w:line="240" w:lineRule="auto"/>
        <w:ind w:left="567"/>
        <w:contextualSpacing/>
        <w:jc w:val="both"/>
        <w:rPr>
          <w:rFonts w:ascii="Arial" w:hAnsi="Arial" w:cs="Arial"/>
        </w:rPr>
      </w:pPr>
    </w:p>
    <w:p w:rsidR="00655251" w:rsidRDefault="00655251" w:rsidP="00C762FD">
      <w:pPr>
        <w:spacing w:line="240" w:lineRule="auto"/>
        <w:ind w:left="567"/>
        <w:contextualSpacing/>
        <w:jc w:val="both"/>
        <w:rPr>
          <w:rFonts w:ascii="Arial" w:hAnsi="Arial" w:cs="Arial"/>
        </w:rPr>
      </w:pPr>
    </w:p>
    <w:p w:rsidR="00655251" w:rsidRPr="00C762FD" w:rsidRDefault="00655251" w:rsidP="00C762FD">
      <w:pPr>
        <w:spacing w:line="240" w:lineRule="auto"/>
        <w:ind w:left="567"/>
        <w:contextualSpacing/>
        <w:jc w:val="both"/>
        <w:rPr>
          <w:rFonts w:ascii="Arial" w:hAnsi="Arial" w:cs="Arial"/>
        </w:rPr>
      </w:pPr>
    </w:p>
    <w:p w:rsidR="00C762FD" w:rsidRPr="00C762FD" w:rsidRDefault="00C762FD" w:rsidP="00C762FD">
      <w:pPr>
        <w:numPr>
          <w:ilvl w:val="0"/>
          <w:numId w:val="2"/>
        </w:numPr>
        <w:spacing w:line="240" w:lineRule="auto"/>
        <w:ind w:left="567" w:hanging="567"/>
        <w:contextualSpacing/>
        <w:jc w:val="both"/>
        <w:rPr>
          <w:rFonts w:ascii="Arial" w:hAnsi="Arial" w:cs="Arial"/>
          <w:b/>
        </w:rPr>
      </w:pPr>
      <w:r w:rsidRPr="00C762FD">
        <w:rPr>
          <w:rFonts w:ascii="Arial" w:hAnsi="Arial" w:cs="Arial"/>
          <w:b/>
        </w:rPr>
        <w:lastRenderedPageBreak/>
        <w:t xml:space="preserve">Unreasonable refusal of support person </w:t>
      </w:r>
      <w:r w:rsidRPr="00124FEF">
        <w:rPr>
          <w:rFonts w:ascii="Arial" w:hAnsi="Arial" w:cs="Arial"/>
          <w:b/>
        </w:rPr>
        <w:t>(s 387(d))</w:t>
      </w:r>
    </w:p>
    <w:p w:rsidR="00C762FD" w:rsidRPr="00C762FD" w:rsidRDefault="00C762FD" w:rsidP="00C762FD">
      <w:pPr>
        <w:spacing w:line="240" w:lineRule="auto"/>
        <w:ind w:left="567"/>
        <w:contextualSpacing/>
        <w:jc w:val="both"/>
        <w:rPr>
          <w:rFonts w:ascii="Arial" w:hAnsi="Arial" w:cs="Arial"/>
          <w:b/>
        </w:rPr>
      </w:pPr>
    </w:p>
    <w:p w:rsidR="00C762FD" w:rsidRPr="00C762FD" w:rsidRDefault="00C762FD" w:rsidP="00C762FD">
      <w:pPr>
        <w:numPr>
          <w:ilvl w:val="0"/>
          <w:numId w:val="12"/>
        </w:numPr>
        <w:spacing w:line="240" w:lineRule="auto"/>
        <w:ind w:left="1134" w:hanging="567"/>
        <w:contextualSpacing/>
        <w:jc w:val="both"/>
        <w:rPr>
          <w:rFonts w:ascii="Arial" w:hAnsi="Arial" w:cs="Arial"/>
        </w:rPr>
      </w:pPr>
      <w:r w:rsidRPr="00C762FD">
        <w:rPr>
          <w:rFonts w:ascii="Arial" w:hAnsi="Arial" w:cs="Arial"/>
        </w:rPr>
        <w:t>An employer has no obligation to offer an employee the opportunity to have a support person.  This will only be relevant in situations where an employee asks to have a support person and the employer unreasonably refuses.</w:t>
      </w:r>
    </w:p>
    <w:p w:rsidR="00C762FD" w:rsidRPr="00C762FD" w:rsidRDefault="00C762FD" w:rsidP="00C762FD">
      <w:pPr>
        <w:spacing w:line="240" w:lineRule="auto"/>
        <w:ind w:left="1134"/>
        <w:contextualSpacing/>
        <w:jc w:val="both"/>
        <w:rPr>
          <w:rFonts w:ascii="Arial" w:hAnsi="Arial" w:cs="Arial"/>
        </w:rPr>
      </w:pPr>
    </w:p>
    <w:p w:rsidR="00C762FD" w:rsidRPr="00C762FD" w:rsidRDefault="00C762FD" w:rsidP="00C762FD">
      <w:pPr>
        <w:numPr>
          <w:ilvl w:val="0"/>
          <w:numId w:val="12"/>
        </w:numPr>
        <w:spacing w:line="240" w:lineRule="auto"/>
        <w:ind w:left="1134" w:hanging="567"/>
        <w:contextualSpacing/>
        <w:jc w:val="both"/>
        <w:rPr>
          <w:rFonts w:ascii="Arial" w:hAnsi="Arial" w:cs="Arial"/>
        </w:rPr>
      </w:pPr>
      <w:r w:rsidRPr="00C762FD">
        <w:rPr>
          <w:rFonts w:ascii="Arial" w:hAnsi="Arial" w:cs="Arial"/>
        </w:rPr>
        <w:t>The FWC has held that an employer refusing to reschedule a disciplinary meeting with an employee to allow a union representative to attend, which was not an unreasonable burden on the employer, amounted to an unreasonable refusal of support person</w:t>
      </w:r>
      <w:r w:rsidR="00124FEF">
        <w:rPr>
          <w:rStyle w:val="FootnoteReference"/>
          <w:rFonts w:ascii="Arial" w:hAnsi="Arial" w:cs="Arial"/>
        </w:rPr>
        <w:footnoteReference w:id="14"/>
      </w:r>
      <w:r w:rsidRPr="00C762FD">
        <w:rPr>
          <w:rFonts w:ascii="Arial" w:hAnsi="Arial" w:cs="Arial"/>
        </w:rPr>
        <w:t>.</w:t>
      </w:r>
    </w:p>
    <w:p w:rsidR="00C762FD" w:rsidRPr="00C762FD" w:rsidRDefault="00C762FD" w:rsidP="00C762FD">
      <w:pPr>
        <w:spacing w:line="360" w:lineRule="auto"/>
        <w:ind w:left="720"/>
        <w:contextualSpacing/>
        <w:jc w:val="both"/>
        <w:rPr>
          <w:rFonts w:ascii="Arial" w:hAnsi="Arial" w:cs="Arial"/>
        </w:rPr>
      </w:pPr>
    </w:p>
    <w:p w:rsidR="00C762FD" w:rsidRPr="00C762FD" w:rsidRDefault="00C762FD" w:rsidP="00C762FD">
      <w:pPr>
        <w:numPr>
          <w:ilvl w:val="0"/>
          <w:numId w:val="12"/>
        </w:numPr>
        <w:spacing w:line="240" w:lineRule="auto"/>
        <w:ind w:left="1134" w:hanging="567"/>
        <w:contextualSpacing/>
        <w:jc w:val="both"/>
        <w:rPr>
          <w:rFonts w:ascii="Arial" w:hAnsi="Arial" w:cs="Arial"/>
        </w:rPr>
      </w:pPr>
      <w:r w:rsidRPr="00C762FD">
        <w:rPr>
          <w:rFonts w:ascii="Arial" w:hAnsi="Arial" w:cs="Arial"/>
        </w:rPr>
        <w:t xml:space="preserve">It should be noted that a support person does not act as an advocate, or present or defend a case on behalf of the employee. </w:t>
      </w:r>
      <w:r w:rsidR="001216B0">
        <w:rPr>
          <w:rFonts w:ascii="Arial" w:hAnsi="Arial" w:cs="Arial"/>
        </w:rPr>
        <w:t xml:space="preserve">The support person merely provides physical support and can take notes and discuss matters with the employee. </w:t>
      </w:r>
    </w:p>
    <w:p w:rsidR="00C762FD" w:rsidRPr="00C762FD" w:rsidRDefault="00C762FD" w:rsidP="00C762FD">
      <w:pPr>
        <w:spacing w:line="360" w:lineRule="auto"/>
        <w:ind w:left="720"/>
        <w:contextualSpacing/>
        <w:jc w:val="both"/>
        <w:rPr>
          <w:rFonts w:ascii="Arial" w:hAnsi="Arial" w:cs="Arial"/>
        </w:rPr>
      </w:pPr>
    </w:p>
    <w:p w:rsidR="00C762FD" w:rsidRPr="00C762FD" w:rsidRDefault="00C762FD" w:rsidP="00C762FD">
      <w:pPr>
        <w:numPr>
          <w:ilvl w:val="0"/>
          <w:numId w:val="2"/>
        </w:numPr>
        <w:spacing w:line="240" w:lineRule="auto"/>
        <w:ind w:left="567" w:hanging="567"/>
        <w:contextualSpacing/>
        <w:jc w:val="both"/>
        <w:rPr>
          <w:rFonts w:ascii="Arial" w:hAnsi="Arial" w:cs="Arial"/>
          <w:b/>
        </w:rPr>
      </w:pPr>
      <w:r w:rsidRPr="00C762FD">
        <w:rPr>
          <w:rFonts w:ascii="Arial" w:hAnsi="Arial" w:cs="Arial"/>
          <w:b/>
        </w:rPr>
        <w:t xml:space="preserve">Warnings – unsatisfactory performance </w:t>
      </w:r>
      <w:r w:rsidRPr="000344D5">
        <w:rPr>
          <w:rFonts w:ascii="Arial" w:hAnsi="Arial" w:cs="Arial"/>
          <w:b/>
        </w:rPr>
        <w:t>(s 387(e))</w:t>
      </w:r>
    </w:p>
    <w:p w:rsidR="00C762FD" w:rsidRPr="00C762FD" w:rsidRDefault="00C762FD" w:rsidP="00C762FD">
      <w:pPr>
        <w:spacing w:line="240" w:lineRule="auto"/>
        <w:ind w:left="567"/>
        <w:contextualSpacing/>
        <w:jc w:val="both"/>
        <w:rPr>
          <w:rFonts w:ascii="Arial" w:hAnsi="Arial" w:cs="Arial"/>
          <w:b/>
        </w:rPr>
      </w:pPr>
    </w:p>
    <w:p w:rsidR="00C762FD" w:rsidRPr="00C762FD" w:rsidRDefault="00C762FD" w:rsidP="00C762FD">
      <w:pPr>
        <w:numPr>
          <w:ilvl w:val="0"/>
          <w:numId w:val="13"/>
        </w:numPr>
        <w:spacing w:line="240" w:lineRule="auto"/>
        <w:ind w:left="993" w:hanging="426"/>
        <w:contextualSpacing/>
        <w:jc w:val="both"/>
        <w:rPr>
          <w:rFonts w:ascii="Arial" w:hAnsi="Arial" w:cs="Arial"/>
        </w:rPr>
      </w:pPr>
      <w:r w:rsidRPr="00C762FD">
        <w:rPr>
          <w:rFonts w:ascii="Arial" w:hAnsi="Arial" w:cs="Arial"/>
        </w:rPr>
        <w:t>This criterion relates to where an employee is dismissed for unsatisfactory performance and the FWC must take into account whether there was a period of time between an employee being warned about unsatisfactory performance and a subsequent dismissal.</w:t>
      </w:r>
    </w:p>
    <w:p w:rsidR="00C762FD" w:rsidRPr="00C762FD" w:rsidRDefault="00C762FD" w:rsidP="00C762FD">
      <w:pPr>
        <w:spacing w:line="240" w:lineRule="auto"/>
        <w:ind w:left="993"/>
        <w:contextualSpacing/>
        <w:jc w:val="both"/>
        <w:rPr>
          <w:rFonts w:ascii="Arial" w:hAnsi="Arial" w:cs="Arial"/>
        </w:rPr>
      </w:pPr>
    </w:p>
    <w:p w:rsidR="00C762FD" w:rsidRPr="00C762FD" w:rsidRDefault="00C762FD" w:rsidP="00C762FD">
      <w:pPr>
        <w:numPr>
          <w:ilvl w:val="0"/>
          <w:numId w:val="13"/>
        </w:numPr>
        <w:spacing w:line="240" w:lineRule="auto"/>
        <w:ind w:left="993" w:hanging="426"/>
        <w:contextualSpacing/>
        <w:jc w:val="both"/>
        <w:rPr>
          <w:rFonts w:ascii="Arial" w:hAnsi="Arial" w:cs="Arial"/>
        </w:rPr>
      </w:pPr>
      <w:r w:rsidRPr="00C762FD">
        <w:rPr>
          <w:rFonts w:ascii="Arial" w:hAnsi="Arial" w:cs="Arial"/>
        </w:rPr>
        <w:t>This period of time is designed to provide the employee the opportunity to understand their employment is at risk and try and improve their performance</w:t>
      </w:r>
      <w:r w:rsidR="00124FEF">
        <w:rPr>
          <w:rStyle w:val="FootnoteReference"/>
          <w:rFonts w:ascii="Arial" w:hAnsi="Arial" w:cs="Arial"/>
        </w:rPr>
        <w:footnoteReference w:id="15"/>
      </w:r>
      <w:r w:rsidRPr="00C762FD">
        <w:rPr>
          <w:rFonts w:ascii="Arial" w:hAnsi="Arial" w:cs="Arial"/>
        </w:rPr>
        <w:t>.</w:t>
      </w:r>
    </w:p>
    <w:p w:rsidR="00C762FD" w:rsidRPr="00C762FD" w:rsidRDefault="00C762FD" w:rsidP="00C762FD">
      <w:pPr>
        <w:spacing w:line="360" w:lineRule="auto"/>
        <w:ind w:left="720"/>
        <w:contextualSpacing/>
        <w:jc w:val="both"/>
        <w:rPr>
          <w:rFonts w:ascii="Arial" w:hAnsi="Arial" w:cs="Arial"/>
        </w:rPr>
      </w:pPr>
    </w:p>
    <w:p w:rsidR="00C762FD" w:rsidRPr="00C762FD" w:rsidRDefault="00C762FD" w:rsidP="00C762FD">
      <w:pPr>
        <w:numPr>
          <w:ilvl w:val="0"/>
          <w:numId w:val="13"/>
        </w:numPr>
        <w:spacing w:line="240" w:lineRule="auto"/>
        <w:ind w:left="993" w:hanging="426"/>
        <w:contextualSpacing/>
        <w:jc w:val="both"/>
        <w:rPr>
          <w:rFonts w:ascii="Arial" w:hAnsi="Arial" w:cs="Arial"/>
        </w:rPr>
      </w:pPr>
      <w:r w:rsidRPr="00C762FD">
        <w:rPr>
          <w:rFonts w:ascii="Arial" w:hAnsi="Arial" w:cs="Arial"/>
        </w:rPr>
        <w:t xml:space="preserve">While no warning is necessarily required under the Act, providing such and being open with employees will allow the employees to better understand and achieve their performance targets. </w:t>
      </w:r>
    </w:p>
    <w:p w:rsidR="00C762FD" w:rsidRPr="00C762FD" w:rsidRDefault="00C762FD" w:rsidP="00C762FD">
      <w:pPr>
        <w:spacing w:line="240" w:lineRule="auto"/>
        <w:ind w:left="993" w:hanging="426"/>
        <w:contextualSpacing/>
        <w:jc w:val="both"/>
        <w:rPr>
          <w:rFonts w:ascii="Arial" w:hAnsi="Arial" w:cs="Arial"/>
        </w:rPr>
      </w:pPr>
    </w:p>
    <w:p w:rsidR="00C762FD" w:rsidRPr="00C762FD" w:rsidRDefault="00C762FD" w:rsidP="00C762FD">
      <w:pPr>
        <w:numPr>
          <w:ilvl w:val="0"/>
          <w:numId w:val="13"/>
        </w:numPr>
        <w:spacing w:line="240" w:lineRule="auto"/>
        <w:ind w:left="993" w:hanging="426"/>
        <w:contextualSpacing/>
        <w:jc w:val="both"/>
        <w:rPr>
          <w:rFonts w:ascii="Arial" w:hAnsi="Arial" w:cs="Arial"/>
        </w:rPr>
      </w:pPr>
      <w:r w:rsidRPr="00C762FD">
        <w:rPr>
          <w:rFonts w:ascii="Arial" w:hAnsi="Arial" w:cs="Arial"/>
        </w:rPr>
        <w:t>In certain instances however, the FWC has deemed a failure by an employer to provide an employee with a warning for alleged poor performances and then terminating their employment on that basis, was harsh, unjust and unreasonable</w:t>
      </w:r>
      <w:r w:rsidR="00124FEF">
        <w:rPr>
          <w:rStyle w:val="FootnoteReference"/>
          <w:rFonts w:ascii="Arial" w:hAnsi="Arial" w:cs="Arial"/>
        </w:rPr>
        <w:footnoteReference w:id="16"/>
      </w:r>
      <w:r w:rsidRPr="00C762FD">
        <w:rPr>
          <w:rFonts w:ascii="Arial" w:hAnsi="Arial" w:cs="Arial"/>
        </w:rPr>
        <w:t>.</w:t>
      </w:r>
    </w:p>
    <w:p w:rsidR="00C762FD" w:rsidRPr="00C762FD" w:rsidRDefault="00C762FD" w:rsidP="00C762FD">
      <w:pPr>
        <w:spacing w:line="360" w:lineRule="auto"/>
        <w:ind w:left="720"/>
        <w:contextualSpacing/>
        <w:jc w:val="both"/>
        <w:rPr>
          <w:rFonts w:ascii="Arial" w:hAnsi="Arial" w:cs="Arial"/>
        </w:rPr>
      </w:pPr>
    </w:p>
    <w:p w:rsidR="00C762FD" w:rsidRPr="00C762FD" w:rsidRDefault="00C762FD" w:rsidP="00C762FD">
      <w:pPr>
        <w:numPr>
          <w:ilvl w:val="0"/>
          <w:numId w:val="13"/>
        </w:numPr>
        <w:spacing w:line="240" w:lineRule="auto"/>
        <w:ind w:left="993" w:hanging="426"/>
        <w:contextualSpacing/>
        <w:jc w:val="both"/>
        <w:rPr>
          <w:rFonts w:ascii="Arial" w:hAnsi="Arial" w:cs="Arial"/>
        </w:rPr>
      </w:pPr>
      <w:r w:rsidRPr="00C762FD">
        <w:rPr>
          <w:rFonts w:ascii="Arial" w:hAnsi="Arial" w:cs="Arial"/>
        </w:rPr>
        <w:t>A warning must identify the relevant aspects of the employee’s performance which is of concern to the employer and must make it clear that the employee’s employment is at risk unless the performance improves</w:t>
      </w:r>
      <w:r w:rsidR="00124FEF">
        <w:rPr>
          <w:rStyle w:val="FootnoteReference"/>
          <w:rFonts w:ascii="Arial" w:hAnsi="Arial" w:cs="Arial"/>
        </w:rPr>
        <w:footnoteReference w:id="17"/>
      </w:r>
      <w:r w:rsidRPr="00C762FD">
        <w:rPr>
          <w:rFonts w:ascii="Arial" w:hAnsi="Arial" w:cs="Arial"/>
        </w:rPr>
        <w:t>.</w:t>
      </w:r>
    </w:p>
    <w:p w:rsidR="00C762FD" w:rsidRPr="00C762FD" w:rsidRDefault="00C762FD" w:rsidP="00C762FD">
      <w:pPr>
        <w:spacing w:line="240" w:lineRule="auto"/>
        <w:ind w:left="567"/>
        <w:contextualSpacing/>
        <w:jc w:val="both"/>
        <w:rPr>
          <w:rFonts w:ascii="Arial" w:hAnsi="Arial" w:cs="Arial"/>
        </w:rPr>
      </w:pPr>
    </w:p>
    <w:p w:rsidR="00C762FD" w:rsidRPr="00124FEF" w:rsidRDefault="00C762FD" w:rsidP="00C762FD">
      <w:pPr>
        <w:numPr>
          <w:ilvl w:val="0"/>
          <w:numId w:val="2"/>
        </w:numPr>
        <w:spacing w:line="240" w:lineRule="auto"/>
        <w:ind w:left="567" w:hanging="567"/>
        <w:contextualSpacing/>
        <w:jc w:val="both"/>
        <w:rPr>
          <w:rFonts w:ascii="Arial" w:hAnsi="Arial" w:cs="Arial"/>
          <w:b/>
        </w:rPr>
      </w:pPr>
      <w:r w:rsidRPr="00C762FD">
        <w:rPr>
          <w:rFonts w:ascii="Arial" w:hAnsi="Arial" w:cs="Arial"/>
          <w:b/>
        </w:rPr>
        <w:t xml:space="preserve">Size of employer’s enterprise and human resources specialists </w:t>
      </w:r>
      <w:r w:rsidRPr="00124FEF">
        <w:rPr>
          <w:rFonts w:ascii="Arial" w:hAnsi="Arial" w:cs="Arial"/>
          <w:b/>
        </w:rPr>
        <w:t>(s 387(f) and (g))</w:t>
      </w:r>
    </w:p>
    <w:p w:rsidR="00C762FD" w:rsidRPr="00C762FD" w:rsidRDefault="00C762FD" w:rsidP="00C762FD">
      <w:pPr>
        <w:spacing w:line="240" w:lineRule="auto"/>
        <w:ind w:left="567"/>
        <w:contextualSpacing/>
        <w:jc w:val="both"/>
        <w:rPr>
          <w:rFonts w:ascii="Arial" w:hAnsi="Arial" w:cs="Arial"/>
          <w:b/>
        </w:rPr>
      </w:pPr>
    </w:p>
    <w:p w:rsidR="00C762FD" w:rsidRPr="00C762FD" w:rsidRDefault="00C762FD" w:rsidP="00C762FD">
      <w:pPr>
        <w:numPr>
          <w:ilvl w:val="0"/>
          <w:numId w:val="14"/>
        </w:numPr>
        <w:spacing w:line="240" w:lineRule="auto"/>
        <w:ind w:left="1134" w:hanging="567"/>
        <w:contextualSpacing/>
        <w:jc w:val="both"/>
        <w:rPr>
          <w:rFonts w:ascii="Arial" w:hAnsi="Arial" w:cs="Arial"/>
        </w:rPr>
      </w:pPr>
      <w:r w:rsidRPr="00C762FD">
        <w:rPr>
          <w:rFonts w:ascii="Arial" w:hAnsi="Arial" w:cs="Arial"/>
        </w:rPr>
        <w:t>This criterion looks at factors that might have impacted the ability of an employer to follow a fair process in effecting a dismissal and whether the employer was a small business or a larger employer.</w:t>
      </w:r>
    </w:p>
    <w:p w:rsidR="00C762FD" w:rsidRPr="00C762FD" w:rsidRDefault="00C762FD" w:rsidP="00C762FD">
      <w:pPr>
        <w:spacing w:line="240" w:lineRule="auto"/>
        <w:ind w:left="1134"/>
        <w:contextualSpacing/>
        <w:jc w:val="both"/>
        <w:rPr>
          <w:rFonts w:ascii="Arial" w:hAnsi="Arial" w:cs="Arial"/>
        </w:rPr>
      </w:pPr>
    </w:p>
    <w:p w:rsidR="00C762FD" w:rsidRPr="00C762FD" w:rsidRDefault="00C762FD" w:rsidP="00C762FD">
      <w:pPr>
        <w:numPr>
          <w:ilvl w:val="0"/>
          <w:numId w:val="14"/>
        </w:numPr>
        <w:spacing w:line="240" w:lineRule="auto"/>
        <w:ind w:left="1134" w:hanging="567"/>
        <w:contextualSpacing/>
        <w:jc w:val="both"/>
        <w:rPr>
          <w:rFonts w:ascii="Arial" w:hAnsi="Arial" w:cs="Arial"/>
        </w:rPr>
      </w:pPr>
      <w:r w:rsidRPr="00C762FD">
        <w:rPr>
          <w:rFonts w:ascii="Arial" w:hAnsi="Arial" w:cs="Arial"/>
        </w:rPr>
        <w:t>While a small business may not have the same resources as a larger business, the procedure followed in dismissing a person cannot be devoid of any fairness</w:t>
      </w:r>
      <w:r w:rsidR="00124FEF">
        <w:rPr>
          <w:rStyle w:val="FootnoteReference"/>
          <w:rFonts w:ascii="Arial" w:hAnsi="Arial" w:cs="Arial"/>
        </w:rPr>
        <w:footnoteReference w:id="18"/>
      </w:r>
      <w:r w:rsidRPr="00C762FD">
        <w:rPr>
          <w:rFonts w:ascii="Arial" w:hAnsi="Arial" w:cs="Arial"/>
        </w:rPr>
        <w:t xml:space="preserve"> </w:t>
      </w:r>
    </w:p>
    <w:p w:rsidR="00C762FD" w:rsidRPr="00C762FD" w:rsidRDefault="00C762FD" w:rsidP="00C762FD">
      <w:pPr>
        <w:spacing w:line="360" w:lineRule="auto"/>
        <w:ind w:left="720"/>
        <w:contextualSpacing/>
        <w:jc w:val="both"/>
        <w:rPr>
          <w:rFonts w:ascii="Arial" w:hAnsi="Arial" w:cs="Arial"/>
        </w:rPr>
      </w:pPr>
    </w:p>
    <w:p w:rsidR="00C762FD" w:rsidRPr="00C762FD" w:rsidRDefault="00C762FD" w:rsidP="00C762FD">
      <w:pPr>
        <w:numPr>
          <w:ilvl w:val="0"/>
          <w:numId w:val="14"/>
        </w:numPr>
        <w:spacing w:line="240" w:lineRule="auto"/>
        <w:ind w:left="1134" w:hanging="567"/>
        <w:contextualSpacing/>
        <w:jc w:val="both"/>
        <w:rPr>
          <w:rFonts w:ascii="Arial" w:hAnsi="Arial" w:cs="Arial"/>
        </w:rPr>
      </w:pPr>
      <w:r w:rsidRPr="00C762FD">
        <w:rPr>
          <w:rFonts w:ascii="Arial" w:hAnsi="Arial" w:cs="Arial"/>
        </w:rPr>
        <w:lastRenderedPageBreak/>
        <w:t>The AIRC has held that common sense courtesies of conduct ought to exist in any workplace, whatever the size</w:t>
      </w:r>
      <w:r w:rsidR="00124FEF">
        <w:rPr>
          <w:rStyle w:val="FootnoteReference"/>
          <w:rFonts w:ascii="Arial" w:hAnsi="Arial" w:cs="Arial"/>
        </w:rPr>
        <w:footnoteReference w:id="19"/>
      </w:r>
      <w:r w:rsidRPr="00C762FD">
        <w:rPr>
          <w:rFonts w:ascii="Arial" w:hAnsi="Arial" w:cs="Arial"/>
        </w:rPr>
        <w:t xml:space="preserve">. </w:t>
      </w:r>
    </w:p>
    <w:p w:rsidR="00C762FD" w:rsidRPr="00C762FD" w:rsidRDefault="00C762FD" w:rsidP="00C762FD">
      <w:pPr>
        <w:spacing w:line="240" w:lineRule="auto"/>
        <w:ind w:left="567"/>
        <w:contextualSpacing/>
        <w:jc w:val="both"/>
        <w:rPr>
          <w:rFonts w:ascii="Arial" w:hAnsi="Arial" w:cs="Arial"/>
        </w:rPr>
      </w:pPr>
    </w:p>
    <w:p w:rsidR="00C762FD" w:rsidRPr="00C762FD" w:rsidRDefault="00C762FD" w:rsidP="00C762FD">
      <w:pPr>
        <w:numPr>
          <w:ilvl w:val="0"/>
          <w:numId w:val="2"/>
        </w:numPr>
        <w:spacing w:line="240" w:lineRule="auto"/>
        <w:ind w:left="567" w:hanging="567"/>
        <w:contextualSpacing/>
        <w:jc w:val="both"/>
        <w:rPr>
          <w:rFonts w:ascii="Arial" w:hAnsi="Arial" w:cs="Arial"/>
          <w:b/>
        </w:rPr>
      </w:pPr>
      <w:r w:rsidRPr="00C762FD">
        <w:rPr>
          <w:rFonts w:ascii="Arial" w:hAnsi="Arial" w:cs="Arial"/>
          <w:b/>
        </w:rPr>
        <w:t xml:space="preserve">Any other matters </w:t>
      </w:r>
      <w:r w:rsidRPr="00124FEF">
        <w:rPr>
          <w:rFonts w:ascii="Arial" w:hAnsi="Arial" w:cs="Arial"/>
          <w:b/>
        </w:rPr>
        <w:t>(s 387(h))</w:t>
      </w:r>
    </w:p>
    <w:p w:rsidR="00C762FD" w:rsidRPr="00C762FD" w:rsidRDefault="00C762FD" w:rsidP="00C762FD">
      <w:pPr>
        <w:spacing w:line="240" w:lineRule="auto"/>
        <w:ind w:left="567"/>
        <w:contextualSpacing/>
        <w:jc w:val="both"/>
        <w:rPr>
          <w:rFonts w:ascii="Arial" w:hAnsi="Arial" w:cs="Arial"/>
          <w:b/>
        </w:rPr>
      </w:pPr>
    </w:p>
    <w:p w:rsidR="00C762FD" w:rsidRPr="00C762FD" w:rsidRDefault="00C762FD" w:rsidP="00C762FD">
      <w:pPr>
        <w:numPr>
          <w:ilvl w:val="0"/>
          <w:numId w:val="15"/>
        </w:numPr>
        <w:spacing w:line="240" w:lineRule="auto"/>
        <w:ind w:left="1134" w:hanging="567"/>
        <w:contextualSpacing/>
        <w:jc w:val="both"/>
        <w:rPr>
          <w:rFonts w:ascii="Arial" w:hAnsi="Arial" w:cs="Arial"/>
        </w:rPr>
      </w:pPr>
      <w:r w:rsidRPr="00C762FD">
        <w:rPr>
          <w:rFonts w:ascii="Arial" w:hAnsi="Arial" w:cs="Arial"/>
        </w:rPr>
        <w:t xml:space="preserve">Some examples of the other matters that are relevant in the context of the circumstances of the particular case include: </w:t>
      </w:r>
    </w:p>
    <w:p w:rsidR="00C762FD" w:rsidRPr="00C762FD" w:rsidRDefault="00C762FD" w:rsidP="00C762FD">
      <w:pPr>
        <w:spacing w:line="240" w:lineRule="auto"/>
        <w:ind w:left="1701" w:hanging="567"/>
        <w:contextualSpacing/>
        <w:jc w:val="both"/>
        <w:rPr>
          <w:rFonts w:ascii="Arial" w:hAnsi="Arial" w:cs="Arial"/>
        </w:rPr>
      </w:pPr>
    </w:p>
    <w:p w:rsidR="00C762FD" w:rsidRPr="00C762FD" w:rsidRDefault="00C762FD" w:rsidP="00C762FD">
      <w:pPr>
        <w:numPr>
          <w:ilvl w:val="0"/>
          <w:numId w:val="16"/>
        </w:numPr>
        <w:spacing w:line="240" w:lineRule="auto"/>
        <w:ind w:left="1701" w:hanging="567"/>
        <w:contextualSpacing/>
        <w:jc w:val="both"/>
        <w:rPr>
          <w:rFonts w:ascii="Arial" w:hAnsi="Arial" w:cs="Arial"/>
        </w:rPr>
      </w:pPr>
      <w:r w:rsidRPr="00C762FD">
        <w:rPr>
          <w:rFonts w:ascii="Arial" w:hAnsi="Arial" w:cs="Arial"/>
        </w:rPr>
        <w:t>The differential treatment of an employee to other employees</w:t>
      </w:r>
      <w:r w:rsidR="00124FEF">
        <w:rPr>
          <w:rStyle w:val="FootnoteReference"/>
          <w:rFonts w:ascii="Arial" w:hAnsi="Arial" w:cs="Arial"/>
        </w:rPr>
        <w:footnoteReference w:id="20"/>
      </w:r>
      <w:r w:rsidRPr="00C762FD">
        <w:rPr>
          <w:rFonts w:ascii="Arial" w:hAnsi="Arial" w:cs="Arial"/>
        </w:rPr>
        <w:t xml:space="preserve">. </w:t>
      </w:r>
    </w:p>
    <w:p w:rsidR="00C762FD" w:rsidRPr="00C762FD" w:rsidRDefault="00C762FD" w:rsidP="00C762FD">
      <w:pPr>
        <w:spacing w:line="240" w:lineRule="auto"/>
        <w:ind w:left="1701"/>
        <w:contextualSpacing/>
        <w:jc w:val="both"/>
        <w:rPr>
          <w:rFonts w:ascii="Arial" w:hAnsi="Arial" w:cs="Arial"/>
        </w:rPr>
      </w:pPr>
    </w:p>
    <w:p w:rsidR="00C762FD" w:rsidRPr="00C762FD" w:rsidRDefault="00C762FD" w:rsidP="00C762FD">
      <w:pPr>
        <w:numPr>
          <w:ilvl w:val="0"/>
          <w:numId w:val="16"/>
        </w:numPr>
        <w:spacing w:line="240" w:lineRule="auto"/>
        <w:ind w:left="1701" w:hanging="567"/>
        <w:contextualSpacing/>
        <w:jc w:val="both"/>
        <w:rPr>
          <w:rFonts w:ascii="Arial" w:hAnsi="Arial" w:cs="Arial"/>
        </w:rPr>
      </w:pPr>
      <w:r w:rsidRPr="00C762FD">
        <w:rPr>
          <w:rFonts w:ascii="Arial" w:hAnsi="Arial" w:cs="Arial"/>
        </w:rPr>
        <w:t>The impact of the dismissal on the employer’s personal or economic situation i.e. the ability of the employee to find alternative work in a small town where the employer employs the majority of the population</w:t>
      </w:r>
      <w:r w:rsidR="00124FEF">
        <w:rPr>
          <w:rStyle w:val="FootnoteReference"/>
          <w:rFonts w:ascii="Arial" w:hAnsi="Arial" w:cs="Arial"/>
        </w:rPr>
        <w:footnoteReference w:id="21"/>
      </w:r>
      <w:r w:rsidRPr="00C762FD">
        <w:rPr>
          <w:rFonts w:ascii="Arial" w:hAnsi="Arial" w:cs="Arial"/>
        </w:rPr>
        <w:t>.</w:t>
      </w:r>
    </w:p>
    <w:p w:rsidR="00124FEF" w:rsidRDefault="00124FEF" w:rsidP="00124FEF">
      <w:pPr>
        <w:spacing w:line="240" w:lineRule="auto"/>
        <w:ind w:left="1701"/>
        <w:contextualSpacing/>
        <w:jc w:val="both"/>
        <w:rPr>
          <w:rFonts w:ascii="Arial" w:hAnsi="Arial" w:cs="Arial"/>
        </w:rPr>
      </w:pPr>
    </w:p>
    <w:p w:rsidR="00C762FD" w:rsidRDefault="00C762FD" w:rsidP="00C762FD">
      <w:pPr>
        <w:numPr>
          <w:ilvl w:val="0"/>
          <w:numId w:val="16"/>
        </w:numPr>
        <w:spacing w:line="240" w:lineRule="auto"/>
        <w:ind w:left="1701" w:hanging="567"/>
        <w:contextualSpacing/>
        <w:jc w:val="both"/>
        <w:rPr>
          <w:rFonts w:ascii="Arial" w:hAnsi="Arial" w:cs="Arial"/>
        </w:rPr>
      </w:pPr>
      <w:r w:rsidRPr="00C762FD">
        <w:rPr>
          <w:rFonts w:ascii="Arial" w:hAnsi="Arial" w:cs="Arial"/>
        </w:rPr>
        <w:t>The employee has a long unblemished work performance or history</w:t>
      </w:r>
      <w:r w:rsidR="00124FEF">
        <w:rPr>
          <w:rStyle w:val="FootnoteReference"/>
          <w:rFonts w:ascii="Arial" w:hAnsi="Arial" w:cs="Arial"/>
        </w:rPr>
        <w:footnoteReference w:id="22"/>
      </w:r>
      <w:r w:rsidRPr="00C762FD">
        <w:rPr>
          <w:rFonts w:ascii="Arial" w:hAnsi="Arial" w:cs="Arial"/>
        </w:rPr>
        <w:t>.</w:t>
      </w:r>
    </w:p>
    <w:p w:rsidR="00124FEF" w:rsidRPr="00C762FD" w:rsidRDefault="00124FEF" w:rsidP="00124FEF">
      <w:pPr>
        <w:spacing w:line="240" w:lineRule="auto"/>
        <w:contextualSpacing/>
        <w:jc w:val="both"/>
        <w:rPr>
          <w:rFonts w:ascii="Arial" w:hAnsi="Arial" w:cs="Arial"/>
        </w:rPr>
      </w:pPr>
    </w:p>
    <w:p w:rsidR="00C762FD" w:rsidRPr="00C762FD" w:rsidRDefault="00C646ED" w:rsidP="00C762FD">
      <w:pPr>
        <w:spacing w:line="240" w:lineRule="auto"/>
        <w:jc w:val="both"/>
        <w:rPr>
          <w:rFonts w:ascii="Arial" w:hAnsi="Arial" w:cs="Arial"/>
          <w:b/>
          <w:u w:val="single"/>
        </w:rPr>
      </w:pPr>
      <w:r>
        <w:rPr>
          <w:rFonts w:ascii="Arial" w:hAnsi="Arial" w:cs="Arial"/>
          <w:b/>
          <w:u w:val="single"/>
        </w:rPr>
        <w:t xml:space="preserve">3. </w:t>
      </w:r>
      <w:r w:rsidR="00C762FD" w:rsidRPr="00C762FD">
        <w:rPr>
          <w:rFonts w:ascii="Arial" w:hAnsi="Arial" w:cs="Arial"/>
          <w:b/>
          <w:u w:val="single"/>
        </w:rPr>
        <w:t>Does the Small Business Fair Dismissal Code apply?</w:t>
      </w:r>
    </w:p>
    <w:p w:rsidR="00C762FD" w:rsidRPr="00C762FD" w:rsidRDefault="00C762FD" w:rsidP="00C762FD">
      <w:pPr>
        <w:spacing w:line="240" w:lineRule="auto"/>
        <w:jc w:val="both"/>
        <w:rPr>
          <w:rFonts w:ascii="Arial" w:hAnsi="Arial" w:cs="Arial"/>
        </w:rPr>
      </w:pPr>
      <w:r w:rsidRPr="00C762FD">
        <w:rPr>
          <w:rFonts w:ascii="Arial" w:hAnsi="Arial" w:cs="Arial"/>
        </w:rPr>
        <w:t>Section 385(c) applies in respect of a small business employer.  A small business employer is an employer who employs less than 15 employees at the relevant time (including employees who are dismissed at the time).  Casual employees are not included unless they are employed on a regular and systematic basis.</w:t>
      </w:r>
    </w:p>
    <w:p w:rsidR="00C762FD" w:rsidRPr="00C762FD" w:rsidRDefault="00C762FD" w:rsidP="00C762FD">
      <w:pPr>
        <w:spacing w:line="240" w:lineRule="auto"/>
        <w:jc w:val="both"/>
        <w:rPr>
          <w:rFonts w:ascii="Arial" w:hAnsi="Arial" w:cs="Arial"/>
        </w:rPr>
      </w:pPr>
      <w:r w:rsidRPr="00C762FD">
        <w:rPr>
          <w:rFonts w:ascii="Arial" w:hAnsi="Arial" w:cs="Arial"/>
        </w:rPr>
        <w:t>In the case of a small business employer, a person has not been unfairly dismissed if the FWC is satisfied that the dismissal was consistent with the Small Business Fair Dismissal Code (“</w:t>
      </w:r>
      <w:r w:rsidRPr="00C762FD">
        <w:rPr>
          <w:rFonts w:ascii="Arial" w:hAnsi="Arial" w:cs="Arial"/>
          <w:b/>
        </w:rPr>
        <w:t>Code</w:t>
      </w:r>
      <w:r w:rsidRPr="00C762FD">
        <w:rPr>
          <w:rFonts w:ascii="Arial" w:hAnsi="Arial" w:cs="Arial"/>
        </w:rPr>
        <w:t>”).  A dismissal will be consistent with the Code if:</w:t>
      </w:r>
    </w:p>
    <w:p w:rsidR="00C762FD" w:rsidRPr="00C762FD" w:rsidRDefault="00C762FD" w:rsidP="00C762FD">
      <w:pPr>
        <w:numPr>
          <w:ilvl w:val="0"/>
          <w:numId w:val="6"/>
        </w:numPr>
        <w:spacing w:line="240" w:lineRule="auto"/>
        <w:ind w:left="567" w:hanging="567"/>
        <w:contextualSpacing/>
        <w:jc w:val="both"/>
        <w:rPr>
          <w:rFonts w:ascii="Arial" w:hAnsi="Arial" w:cs="Arial"/>
        </w:rPr>
      </w:pPr>
      <w:r w:rsidRPr="00C762FD">
        <w:rPr>
          <w:rFonts w:ascii="Arial" w:hAnsi="Arial" w:cs="Arial"/>
        </w:rPr>
        <w:t>Immediately before the time of the dismissal or at the time the person was given notice of the dismissal (which ever happens first), the person’s employer was a small business employer, and</w:t>
      </w:r>
    </w:p>
    <w:p w:rsidR="00C762FD" w:rsidRPr="00C762FD" w:rsidRDefault="00C762FD" w:rsidP="00C762FD">
      <w:pPr>
        <w:spacing w:line="240" w:lineRule="auto"/>
        <w:ind w:left="567"/>
        <w:contextualSpacing/>
        <w:jc w:val="both"/>
        <w:rPr>
          <w:rFonts w:ascii="Arial" w:hAnsi="Arial" w:cs="Arial"/>
        </w:rPr>
      </w:pPr>
    </w:p>
    <w:p w:rsidR="00C762FD" w:rsidRDefault="00C762FD" w:rsidP="00C762FD">
      <w:pPr>
        <w:numPr>
          <w:ilvl w:val="0"/>
          <w:numId w:val="6"/>
        </w:numPr>
        <w:spacing w:line="240" w:lineRule="auto"/>
        <w:ind w:left="567" w:hanging="567"/>
        <w:contextualSpacing/>
        <w:jc w:val="both"/>
        <w:rPr>
          <w:rFonts w:ascii="Arial" w:hAnsi="Arial" w:cs="Arial"/>
        </w:rPr>
      </w:pPr>
      <w:r w:rsidRPr="00C762FD">
        <w:rPr>
          <w:rFonts w:ascii="Arial" w:hAnsi="Arial" w:cs="Arial"/>
        </w:rPr>
        <w:t>The employer complied with the Code in relation to the dismissal.</w:t>
      </w:r>
    </w:p>
    <w:p w:rsidR="000344D5" w:rsidRPr="00C762FD" w:rsidRDefault="000344D5" w:rsidP="000344D5">
      <w:pPr>
        <w:spacing w:line="240" w:lineRule="auto"/>
        <w:contextualSpacing/>
        <w:jc w:val="both"/>
        <w:rPr>
          <w:rFonts w:ascii="Arial" w:hAnsi="Arial" w:cs="Arial"/>
        </w:rPr>
      </w:pPr>
    </w:p>
    <w:p w:rsidR="00C762FD" w:rsidRPr="00C762FD" w:rsidRDefault="00C646ED" w:rsidP="00C762FD">
      <w:pPr>
        <w:spacing w:line="240" w:lineRule="auto"/>
        <w:jc w:val="both"/>
        <w:rPr>
          <w:rFonts w:ascii="Arial" w:hAnsi="Arial" w:cs="Arial"/>
          <w:b/>
          <w:u w:val="single"/>
        </w:rPr>
      </w:pPr>
      <w:r>
        <w:rPr>
          <w:rFonts w:ascii="Arial" w:hAnsi="Arial" w:cs="Arial"/>
          <w:b/>
          <w:u w:val="single"/>
        </w:rPr>
        <w:t xml:space="preserve">4. </w:t>
      </w:r>
      <w:r w:rsidR="00C762FD" w:rsidRPr="00C762FD">
        <w:rPr>
          <w:rFonts w:ascii="Arial" w:hAnsi="Arial" w:cs="Arial"/>
          <w:b/>
          <w:u w:val="single"/>
        </w:rPr>
        <w:t>Was the dismissal a genuine case of redundancy?</w:t>
      </w:r>
    </w:p>
    <w:p w:rsidR="00C762FD" w:rsidRPr="00C762FD" w:rsidRDefault="00C762FD" w:rsidP="00C762FD">
      <w:pPr>
        <w:spacing w:line="240" w:lineRule="auto"/>
        <w:jc w:val="both"/>
        <w:rPr>
          <w:rFonts w:ascii="Arial" w:hAnsi="Arial" w:cs="Arial"/>
        </w:rPr>
      </w:pPr>
      <w:r w:rsidRPr="00C762FD">
        <w:rPr>
          <w:rFonts w:ascii="Arial" w:hAnsi="Arial" w:cs="Arial"/>
        </w:rPr>
        <w:t>The final aspect of the unfair dismissal process is set out under s 385(d) of the Act.  An employee is prevented from making an unfair dismissal application if the dismissal was a case of genuine redundancy.  The meaning of genuine redundancy is set out under s 389(1) of the Act and will occur where:</w:t>
      </w:r>
    </w:p>
    <w:p w:rsidR="00C762FD" w:rsidRPr="00C762FD" w:rsidRDefault="00C762FD" w:rsidP="00C762FD">
      <w:pPr>
        <w:numPr>
          <w:ilvl w:val="0"/>
          <w:numId w:val="4"/>
        </w:numPr>
        <w:spacing w:line="240" w:lineRule="auto"/>
        <w:ind w:left="851" w:hanging="567"/>
        <w:contextualSpacing/>
        <w:jc w:val="both"/>
        <w:rPr>
          <w:rFonts w:ascii="Arial" w:hAnsi="Arial" w:cs="Arial"/>
        </w:rPr>
      </w:pPr>
      <w:r w:rsidRPr="00C762FD">
        <w:rPr>
          <w:rFonts w:ascii="Arial" w:hAnsi="Arial" w:cs="Arial"/>
        </w:rPr>
        <w:t>The employer no longer requires the person’s job to be performed by anyone because of changes in the operational requirements of the employer’s enterprise, and</w:t>
      </w:r>
    </w:p>
    <w:p w:rsidR="00C762FD" w:rsidRPr="00C762FD" w:rsidRDefault="00C762FD" w:rsidP="00C762FD">
      <w:pPr>
        <w:spacing w:line="240" w:lineRule="auto"/>
        <w:ind w:left="851" w:hanging="567"/>
        <w:contextualSpacing/>
        <w:jc w:val="both"/>
        <w:rPr>
          <w:rFonts w:ascii="Arial" w:hAnsi="Arial" w:cs="Arial"/>
        </w:rPr>
      </w:pPr>
    </w:p>
    <w:p w:rsidR="00C762FD" w:rsidRDefault="00C762FD" w:rsidP="00C762FD">
      <w:pPr>
        <w:numPr>
          <w:ilvl w:val="0"/>
          <w:numId w:val="4"/>
        </w:numPr>
        <w:spacing w:line="240" w:lineRule="auto"/>
        <w:ind w:left="851" w:hanging="567"/>
        <w:contextualSpacing/>
        <w:jc w:val="both"/>
        <w:rPr>
          <w:rFonts w:ascii="Arial" w:hAnsi="Arial" w:cs="Arial"/>
        </w:rPr>
      </w:pPr>
      <w:r w:rsidRPr="00C762FD">
        <w:rPr>
          <w:rFonts w:ascii="Arial" w:hAnsi="Arial" w:cs="Arial"/>
        </w:rPr>
        <w:t xml:space="preserve">The employer has complied with any obligation imposed by an applicable modern award or enterprise agreement to consult about the redundancy. </w:t>
      </w:r>
    </w:p>
    <w:p w:rsidR="000344D5" w:rsidRDefault="000344D5" w:rsidP="00C762FD">
      <w:pPr>
        <w:spacing w:line="240" w:lineRule="auto"/>
        <w:jc w:val="both"/>
        <w:rPr>
          <w:rFonts w:ascii="Arial" w:hAnsi="Arial" w:cs="Arial"/>
        </w:rPr>
      </w:pPr>
    </w:p>
    <w:p w:rsidR="00C762FD" w:rsidRPr="00C762FD" w:rsidRDefault="00C762FD" w:rsidP="00C762FD">
      <w:pPr>
        <w:spacing w:line="240" w:lineRule="auto"/>
        <w:jc w:val="both"/>
        <w:rPr>
          <w:rFonts w:ascii="Arial" w:hAnsi="Arial" w:cs="Arial"/>
        </w:rPr>
      </w:pPr>
      <w:r w:rsidRPr="00C762FD">
        <w:rPr>
          <w:rFonts w:ascii="Arial" w:hAnsi="Arial" w:cs="Arial"/>
        </w:rPr>
        <w:t>Where there has been a reorganisation in the employer or a redistribution of duties, the question is whether the employee has any duties to discharge.  If there is no longer any function or duty to perform by that person, their position becomes redundant</w:t>
      </w:r>
      <w:r w:rsidR="000344D5">
        <w:rPr>
          <w:rStyle w:val="FootnoteReference"/>
          <w:rFonts w:ascii="Arial" w:hAnsi="Arial" w:cs="Arial"/>
        </w:rPr>
        <w:footnoteReference w:id="23"/>
      </w:r>
      <w:r w:rsidRPr="00C762FD">
        <w:rPr>
          <w:rFonts w:ascii="Arial" w:hAnsi="Arial" w:cs="Arial"/>
        </w:rPr>
        <w:t xml:space="preserve">.  </w:t>
      </w:r>
    </w:p>
    <w:p w:rsidR="00C762FD" w:rsidRPr="00C762FD" w:rsidRDefault="00C762FD" w:rsidP="00C762FD">
      <w:pPr>
        <w:spacing w:line="240" w:lineRule="auto"/>
        <w:jc w:val="both"/>
        <w:rPr>
          <w:rFonts w:ascii="Arial" w:hAnsi="Arial" w:cs="Arial"/>
        </w:rPr>
      </w:pPr>
      <w:r w:rsidRPr="00C762FD">
        <w:rPr>
          <w:rFonts w:ascii="Arial" w:hAnsi="Arial" w:cs="Arial"/>
        </w:rPr>
        <w:lastRenderedPageBreak/>
        <w:t>Section 389(2) of the Act provides that a genuine redundancy will not occur where it would have been reasonable in all the circumstances for the person to be redeployed within:</w:t>
      </w:r>
    </w:p>
    <w:p w:rsidR="00C762FD" w:rsidRPr="00C762FD" w:rsidRDefault="00C762FD" w:rsidP="00C762FD">
      <w:pPr>
        <w:numPr>
          <w:ilvl w:val="0"/>
          <w:numId w:val="17"/>
        </w:numPr>
        <w:spacing w:line="240" w:lineRule="auto"/>
        <w:ind w:left="851" w:hanging="567"/>
        <w:contextualSpacing/>
        <w:jc w:val="both"/>
        <w:rPr>
          <w:rFonts w:ascii="Arial" w:hAnsi="Arial" w:cs="Arial"/>
        </w:rPr>
      </w:pPr>
      <w:r w:rsidRPr="00C762FD">
        <w:rPr>
          <w:rFonts w:ascii="Arial" w:hAnsi="Arial" w:cs="Arial"/>
        </w:rPr>
        <w:t>The employer’s enterprise; or</w:t>
      </w:r>
    </w:p>
    <w:p w:rsidR="00C762FD" w:rsidRPr="00C762FD" w:rsidRDefault="00C762FD" w:rsidP="00C762FD">
      <w:pPr>
        <w:spacing w:line="240" w:lineRule="auto"/>
        <w:ind w:left="851" w:hanging="567"/>
        <w:contextualSpacing/>
        <w:jc w:val="both"/>
        <w:rPr>
          <w:rFonts w:ascii="Arial" w:hAnsi="Arial" w:cs="Arial"/>
        </w:rPr>
      </w:pPr>
    </w:p>
    <w:p w:rsidR="00C762FD" w:rsidRDefault="00C762FD" w:rsidP="00C762FD">
      <w:pPr>
        <w:numPr>
          <w:ilvl w:val="0"/>
          <w:numId w:val="17"/>
        </w:numPr>
        <w:spacing w:line="240" w:lineRule="auto"/>
        <w:ind w:left="851" w:hanging="567"/>
        <w:contextualSpacing/>
        <w:jc w:val="both"/>
        <w:rPr>
          <w:rFonts w:ascii="Arial" w:hAnsi="Arial" w:cs="Arial"/>
        </w:rPr>
      </w:pPr>
      <w:r w:rsidRPr="00C762FD">
        <w:rPr>
          <w:rFonts w:ascii="Arial" w:hAnsi="Arial" w:cs="Arial"/>
        </w:rPr>
        <w:t>The enterprise of an associated entity of the employer.</w:t>
      </w:r>
    </w:p>
    <w:p w:rsidR="000344D5" w:rsidRPr="00C762FD" w:rsidRDefault="000344D5" w:rsidP="000344D5">
      <w:pPr>
        <w:spacing w:line="240" w:lineRule="auto"/>
        <w:contextualSpacing/>
        <w:jc w:val="both"/>
        <w:rPr>
          <w:rFonts w:ascii="Arial" w:hAnsi="Arial" w:cs="Arial"/>
        </w:rPr>
      </w:pPr>
    </w:p>
    <w:p w:rsidR="00C762FD" w:rsidRPr="00C762FD" w:rsidRDefault="00C762FD" w:rsidP="00C762FD">
      <w:pPr>
        <w:spacing w:line="240" w:lineRule="auto"/>
        <w:jc w:val="both"/>
        <w:rPr>
          <w:rFonts w:ascii="Arial" w:hAnsi="Arial" w:cs="Arial"/>
        </w:rPr>
      </w:pPr>
      <w:r w:rsidRPr="00C762FD">
        <w:rPr>
          <w:rFonts w:ascii="Arial" w:hAnsi="Arial" w:cs="Arial"/>
        </w:rPr>
        <w:t>The FWC has held that assigning an employee’s duties to other employees was not a genuine case of redundancy, as the duties of the job were merely being distributed to other employees</w:t>
      </w:r>
      <w:r w:rsidR="000344D5">
        <w:rPr>
          <w:rStyle w:val="FootnoteReference"/>
          <w:rFonts w:ascii="Arial" w:hAnsi="Arial" w:cs="Arial"/>
        </w:rPr>
        <w:footnoteReference w:id="24"/>
      </w:r>
      <w:r w:rsidR="000344D5">
        <w:rPr>
          <w:rFonts w:ascii="Arial" w:hAnsi="Arial" w:cs="Arial"/>
        </w:rPr>
        <w:t>.</w:t>
      </w:r>
      <w:r w:rsidRPr="00C762FD">
        <w:rPr>
          <w:rFonts w:ascii="Arial" w:hAnsi="Arial" w:cs="Arial"/>
        </w:rPr>
        <w:t xml:space="preserve"> </w:t>
      </w:r>
    </w:p>
    <w:p w:rsidR="00C762FD" w:rsidRPr="00C762FD" w:rsidRDefault="00C646ED" w:rsidP="00C762FD">
      <w:pPr>
        <w:spacing w:line="240" w:lineRule="auto"/>
        <w:jc w:val="both"/>
        <w:rPr>
          <w:rFonts w:ascii="Arial" w:hAnsi="Arial" w:cs="Arial"/>
          <w:b/>
          <w:u w:val="single"/>
        </w:rPr>
      </w:pPr>
      <w:r>
        <w:rPr>
          <w:rFonts w:ascii="Arial" w:hAnsi="Arial" w:cs="Arial"/>
          <w:b/>
          <w:u w:val="single"/>
        </w:rPr>
        <w:t xml:space="preserve">5. </w:t>
      </w:r>
      <w:r w:rsidR="00C762FD" w:rsidRPr="00C762FD">
        <w:rPr>
          <w:rFonts w:ascii="Arial" w:hAnsi="Arial" w:cs="Arial"/>
          <w:b/>
          <w:u w:val="single"/>
        </w:rPr>
        <w:t>Who is protected from unfair dismissal?</w:t>
      </w:r>
    </w:p>
    <w:p w:rsidR="00C762FD" w:rsidRPr="00C762FD" w:rsidRDefault="00C762FD" w:rsidP="00C762FD">
      <w:pPr>
        <w:spacing w:line="240" w:lineRule="auto"/>
        <w:jc w:val="both"/>
        <w:rPr>
          <w:rFonts w:ascii="Arial" w:hAnsi="Arial" w:cs="Arial"/>
        </w:rPr>
      </w:pPr>
      <w:r w:rsidRPr="00C762FD">
        <w:rPr>
          <w:rFonts w:ascii="Arial" w:hAnsi="Arial" w:cs="Arial"/>
        </w:rPr>
        <w:t>Section 382 of the Act provides that a person is protected from unfair dismissal at the time if:</w:t>
      </w:r>
    </w:p>
    <w:p w:rsidR="00C762FD" w:rsidRPr="00C762FD" w:rsidRDefault="00C762FD" w:rsidP="00C762FD">
      <w:pPr>
        <w:numPr>
          <w:ilvl w:val="0"/>
          <w:numId w:val="5"/>
        </w:numPr>
        <w:spacing w:line="240" w:lineRule="auto"/>
        <w:ind w:left="851" w:hanging="567"/>
        <w:contextualSpacing/>
        <w:jc w:val="both"/>
        <w:rPr>
          <w:rFonts w:ascii="Arial" w:hAnsi="Arial" w:cs="Arial"/>
        </w:rPr>
      </w:pPr>
      <w:r w:rsidRPr="00C762FD">
        <w:rPr>
          <w:rFonts w:ascii="Arial" w:hAnsi="Arial" w:cs="Arial"/>
        </w:rPr>
        <w:t>The person is an employee who has completed a period of employment with his or her employer of at least the minimum employment period, and</w:t>
      </w:r>
    </w:p>
    <w:p w:rsidR="00C762FD" w:rsidRPr="00C762FD" w:rsidRDefault="00C762FD" w:rsidP="00C762FD">
      <w:pPr>
        <w:spacing w:line="240" w:lineRule="auto"/>
        <w:ind w:left="851" w:hanging="567"/>
        <w:contextualSpacing/>
        <w:jc w:val="both"/>
        <w:rPr>
          <w:rFonts w:ascii="Arial" w:hAnsi="Arial" w:cs="Arial"/>
        </w:rPr>
      </w:pPr>
    </w:p>
    <w:p w:rsidR="00C762FD" w:rsidRPr="00C762FD" w:rsidRDefault="00C762FD" w:rsidP="00C762FD">
      <w:pPr>
        <w:numPr>
          <w:ilvl w:val="0"/>
          <w:numId w:val="5"/>
        </w:numPr>
        <w:spacing w:line="240" w:lineRule="auto"/>
        <w:ind w:left="851" w:hanging="567"/>
        <w:contextualSpacing/>
        <w:jc w:val="both"/>
        <w:rPr>
          <w:rFonts w:ascii="Arial" w:hAnsi="Arial" w:cs="Arial"/>
        </w:rPr>
      </w:pPr>
      <w:r w:rsidRPr="00C762FD">
        <w:rPr>
          <w:rFonts w:ascii="Arial" w:hAnsi="Arial" w:cs="Arial"/>
        </w:rPr>
        <w:t>One or more of the following apply:</w:t>
      </w:r>
    </w:p>
    <w:p w:rsidR="00C762FD" w:rsidRPr="00C762FD" w:rsidRDefault="00C762FD" w:rsidP="00C762FD">
      <w:pPr>
        <w:spacing w:line="240" w:lineRule="auto"/>
        <w:ind w:left="1418"/>
        <w:contextualSpacing/>
        <w:jc w:val="both"/>
        <w:rPr>
          <w:rFonts w:ascii="Arial" w:hAnsi="Arial" w:cs="Arial"/>
        </w:rPr>
      </w:pPr>
    </w:p>
    <w:p w:rsidR="00C762FD" w:rsidRPr="00C762FD" w:rsidRDefault="00C762FD" w:rsidP="00C762FD">
      <w:pPr>
        <w:numPr>
          <w:ilvl w:val="0"/>
          <w:numId w:val="18"/>
        </w:numPr>
        <w:spacing w:line="240" w:lineRule="auto"/>
        <w:ind w:left="1418" w:hanging="567"/>
        <w:contextualSpacing/>
        <w:jc w:val="both"/>
        <w:rPr>
          <w:rFonts w:ascii="Arial" w:hAnsi="Arial" w:cs="Arial"/>
        </w:rPr>
      </w:pPr>
      <w:r w:rsidRPr="00C762FD">
        <w:rPr>
          <w:rFonts w:ascii="Arial" w:hAnsi="Arial" w:cs="Arial"/>
        </w:rPr>
        <w:t>A modern award covers the person;</w:t>
      </w:r>
    </w:p>
    <w:p w:rsidR="00C762FD" w:rsidRPr="00C762FD" w:rsidRDefault="00C762FD" w:rsidP="00C762FD">
      <w:pPr>
        <w:spacing w:line="240" w:lineRule="auto"/>
        <w:ind w:left="1418"/>
        <w:contextualSpacing/>
        <w:jc w:val="both"/>
        <w:rPr>
          <w:rFonts w:ascii="Arial" w:hAnsi="Arial" w:cs="Arial"/>
        </w:rPr>
      </w:pPr>
    </w:p>
    <w:p w:rsidR="00C762FD" w:rsidRPr="00C762FD" w:rsidRDefault="00C762FD" w:rsidP="00C762FD">
      <w:pPr>
        <w:numPr>
          <w:ilvl w:val="0"/>
          <w:numId w:val="18"/>
        </w:numPr>
        <w:spacing w:line="240" w:lineRule="auto"/>
        <w:ind w:left="1418" w:hanging="567"/>
        <w:contextualSpacing/>
        <w:jc w:val="both"/>
        <w:rPr>
          <w:rFonts w:ascii="Arial" w:hAnsi="Arial" w:cs="Arial"/>
        </w:rPr>
      </w:pPr>
      <w:r w:rsidRPr="00C762FD">
        <w:rPr>
          <w:rFonts w:ascii="Arial" w:hAnsi="Arial" w:cs="Arial"/>
        </w:rPr>
        <w:t>An enterprise agreement applies to the person in relation to the employment; or</w:t>
      </w:r>
    </w:p>
    <w:p w:rsidR="00C762FD" w:rsidRPr="00C762FD" w:rsidRDefault="00C762FD" w:rsidP="00C762FD">
      <w:pPr>
        <w:spacing w:line="240" w:lineRule="auto"/>
        <w:ind w:left="1418"/>
        <w:contextualSpacing/>
        <w:jc w:val="both"/>
        <w:rPr>
          <w:rFonts w:ascii="Arial" w:hAnsi="Arial" w:cs="Arial"/>
        </w:rPr>
      </w:pPr>
    </w:p>
    <w:p w:rsidR="00C762FD" w:rsidRDefault="00C762FD" w:rsidP="00C762FD">
      <w:pPr>
        <w:numPr>
          <w:ilvl w:val="0"/>
          <w:numId w:val="18"/>
        </w:numPr>
        <w:spacing w:line="240" w:lineRule="auto"/>
        <w:ind w:left="1418" w:hanging="567"/>
        <w:contextualSpacing/>
        <w:jc w:val="both"/>
        <w:rPr>
          <w:rFonts w:ascii="Arial" w:hAnsi="Arial" w:cs="Arial"/>
        </w:rPr>
      </w:pPr>
      <w:r w:rsidRPr="00C762FD">
        <w:rPr>
          <w:rFonts w:ascii="Arial" w:hAnsi="Arial" w:cs="Arial"/>
        </w:rPr>
        <w:t>The sum of the person’s annual rate of earnings, and such other amount (if any) worked out in relation to the person in accordance with the regulations, is less than the high income threshold (currently $136,700).</w:t>
      </w:r>
    </w:p>
    <w:p w:rsidR="000344D5" w:rsidRPr="00C762FD" w:rsidRDefault="000344D5" w:rsidP="000344D5">
      <w:pPr>
        <w:spacing w:line="240" w:lineRule="auto"/>
        <w:contextualSpacing/>
        <w:jc w:val="both"/>
        <w:rPr>
          <w:rFonts w:ascii="Arial" w:hAnsi="Arial" w:cs="Arial"/>
        </w:rPr>
      </w:pPr>
    </w:p>
    <w:p w:rsidR="00C762FD" w:rsidRPr="00C762FD" w:rsidRDefault="00C762FD" w:rsidP="00C762FD">
      <w:pPr>
        <w:spacing w:line="240" w:lineRule="auto"/>
        <w:jc w:val="both"/>
        <w:rPr>
          <w:rFonts w:ascii="Arial" w:hAnsi="Arial" w:cs="Arial"/>
        </w:rPr>
      </w:pPr>
      <w:r w:rsidRPr="00C762FD">
        <w:rPr>
          <w:rFonts w:ascii="Arial" w:hAnsi="Arial" w:cs="Arial"/>
        </w:rPr>
        <w:t xml:space="preserve">The minimum period of employment is set out under s 383 of the Act.  This period is six months, or where an employer is a small business, one year. </w:t>
      </w:r>
    </w:p>
    <w:p w:rsidR="00C762FD" w:rsidRPr="00C762FD" w:rsidRDefault="00C762FD" w:rsidP="00C762FD">
      <w:pPr>
        <w:spacing w:line="240" w:lineRule="auto"/>
        <w:jc w:val="both"/>
        <w:rPr>
          <w:rFonts w:ascii="Arial" w:hAnsi="Arial" w:cs="Arial"/>
        </w:rPr>
      </w:pPr>
      <w:r w:rsidRPr="00C762FD">
        <w:rPr>
          <w:rFonts w:ascii="Arial" w:hAnsi="Arial" w:cs="Arial"/>
        </w:rPr>
        <w:t>The period of employment runs from the date the employee commences work until the date the employee is notified of the dismissal, or immediately before the dismissal, which ever is earlier.</w:t>
      </w:r>
    </w:p>
    <w:p w:rsidR="00C762FD" w:rsidRPr="00C762FD" w:rsidRDefault="00C762FD" w:rsidP="00C762FD">
      <w:pPr>
        <w:spacing w:line="240" w:lineRule="auto"/>
        <w:jc w:val="both"/>
        <w:rPr>
          <w:rFonts w:ascii="Arial" w:hAnsi="Arial" w:cs="Arial"/>
        </w:rPr>
      </w:pPr>
      <w:r w:rsidRPr="00C762FD">
        <w:rPr>
          <w:rFonts w:ascii="Arial" w:hAnsi="Arial" w:cs="Arial"/>
        </w:rPr>
        <w:t>A resignation will break the employment period</w:t>
      </w:r>
      <w:r w:rsidR="000344D5">
        <w:rPr>
          <w:rStyle w:val="FootnoteReference"/>
          <w:rFonts w:ascii="Arial" w:hAnsi="Arial" w:cs="Arial"/>
        </w:rPr>
        <w:footnoteReference w:id="25"/>
      </w:r>
      <w:r w:rsidR="000344D5">
        <w:rPr>
          <w:rFonts w:ascii="Arial" w:hAnsi="Arial" w:cs="Arial"/>
        </w:rPr>
        <w:t>.</w:t>
      </w:r>
      <w:r w:rsidRPr="00C762FD">
        <w:rPr>
          <w:rFonts w:ascii="Arial" w:hAnsi="Arial" w:cs="Arial"/>
        </w:rPr>
        <w:t xml:space="preserve"> </w:t>
      </w:r>
    </w:p>
    <w:p w:rsidR="00C762FD" w:rsidRPr="00C762FD" w:rsidRDefault="00C762FD" w:rsidP="000344D5">
      <w:pPr>
        <w:spacing w:line="240" w:lineRule="auto"/>
        <w:jc w:val="both"/>
        <w:rPr>
          <w:rFonts w:ascii="Arial" w:hAnsi="Arial" w:cs="Arial"/>
          <w:b/>
          <w:u w:val="single"/>
        </w:rPr>
      </w:pPr>
      <w:r w:rsidRPr="00C762FD">
        <w:rPr>
          <w:rFonts w:ascii="Arial" w:hAnsi="Arial" w:cs="Arial"/>
          <w:b/>
          <w:u w:val="single"/>
        </w:rPr>
        <w:t>Horror Stories</w:t>
      </w:r>
    </w:p>
    <w:p w:rsidR="00C762FD" w:rsidRPr="00C762FD" w:rsidRDefault="00C762FD" w:rsidP="000344D5">
      <w:pPr>
        <w:spacing w:line="240" w:lineRule="auto"/>
        <w:jc w:val="both"/>
        <w:rPr>
          <w:rFonts w:ascii="Arial" w:hAnsi="Arial" w:cs="Arial"/>
          <w:b/>
          <w:u w:val="single"/>
        </w:rPr>
      </w:pPr>
      <w:r w:rsidRPr="00C762FD">
        <w:rPr>
          <w:rFonts w:ascii="Arial" w:hAnsi="Arial" w:cs="Arial"/>
          <w:i/>
          <w:u w:val="single"/>
          <w:lang w:val="en-US"/>
        </w:rPr>
        <w:t xml:space="preserve">Keenan v Leighton Boral </w:t>
      </w:r>
      <w:proofErr w:type="spellStart"/>
      <w:r w:rsidRPr="00C762FD">
        <w:rPr>
          <w:rFonts w:ascii="Arial" w:hAnsi="Arial" w:cs="Arial"/>
          <w:i/>
          <w:u w:val="single"/>
          <w:lang w:val="en-US"/>
        </w:rPr>
        <w:t>Amey</w:t>
      </w:r>
      <w:proofErr w:type="spellEnd"/>
      <w:r w:rsidRPr="00C762FD">
        <w:rPr>
          <w:rFonts w:ascii="Arial" w:hAnsi="Arial" w:cs="Arial"/>
          <w:i/>
          <w:u w:val="single"/>
          <w:lang w:val="en-US"/>
        </w:rPr>
        <w:t xml:space="preserve"> Joint Venture </w:t>
      </w:r>
      <w:r w:rsidRPr="00C762FD">
        <w:rPr>
          <w:rFonts w:ascii="Arial" w:hAnsi="Arial" w:cs="Arial"/>
          <w:u w:val="single"/>
          <w:lang w:val="en-US"/>
        </w:rPr>
        <w:t>[2015] FWC 3156</w:t>
      </w:r>
    </w:p>
    <w:p w:rsidR="00C762FD" w:rsidRPr="00C762FD" w:rsidRDefault="00C762FD" w:rsidP="000344D5">
      <w:pPr>
        <w:spacing w:line="240" w:lineRule="auto"/>
        <w:jc w:val="both"/>
        <w:rPr>
          <w:rFonts w:ascii="Arial" w:hAnsi="Arial" w:cs="Arial"/>
          <w:u w:val="single"/>
          <w:lang w:val="en-US"/>
        </w:rPr>
      </w:pPr>
      <w:r w:rsidRPr="00C762FD">
        <w:rPr>
          <w:rFonts w:ascii="Arial" w:hAnsi="Arial" w:cs="Arial"/>
          <w:u w:val="single"/>
          <w:lang w:val="en-US"/>
        </w:rPr>
        <w:t>Facts</w:t>
      </w:r>
    </w:p>
    <w:p w:rsidR="00C762FD" w:rsidRDefault="00C762FD" w:rsidP="000344D5">
      <w:pPr>
        <w:spacing w:line="240" w:lineRule="auto"/>
        <w:jc w:val="both"/>
        <w:rPr>
          <w:rFonts w:ascii="Arial" w:hAnsi="Arial" w:cs="Arial"/>
          <w:lang w:val="en-US"/>
        </w:rPr>
      </w:pPr>
      <w:r w:rsidRPr="00C762FD">
        <w:rPr>
          <w:rFonts w:ascii="Arial" w:hAnsi="Arial" w:cs="Arial"/>
          <w:lang w:val="en-US"/>
        </w:rPr>
        <w:t xml:space="preserve">During a Christmas party </w:t>
      </w:r>
      <w:proofErr w:type="spellStart"/>
      <w:r w:rsidRPr="00C762FD">
        <w:rPr>
          <w:rFonts w:ascii="Arial" w:hAnsi="Arial" w:cs="Arial"/>
          <w:lang w:val="en-US"/>
        </w:rPr>
        <w:t>organised</w:t>
      </w:r>
      <w:proofErr w:type="spellEnd"/>
      <w:r w:rsidRPr="00C762FD">
        <w:rPr>
          <w:rFonts w:ascii="Arial" w:hAnsi="Arial" w:cs="Arial"/>
          <w:lang w:val="en-US"/>
        </w:rPr>
        <w:t xml:space="preserve"> by the employee’s employer, the employee became heavily intoxicated and verbally abused a number of his colleagues.  Throughout the party, the employees were served unlimited alcohol. </w:t>
      </w:r>
    </w:p>
    <w:p w:rsidR="004D1F8D" w:rsidRPr="004D1F8D" w:rsidRDefault="004D1F8D" w:rsidP="004D1F8D">
      <w:pPr>
        <w:spacing w:line="240" w:lineRule="auto"/>
        <w:jc w:val="both"/>
        <w:rPr>
          <w:rFonts w:ascii="Arial" w:hAnsi="Arial" w:cs="Arial"/>
          <w:u w:val="single"/>
          <w:lang w:val="en-US"/>
        </w:rPr>
      </w:pPr>
      <w:r w:rsidRPr="004D1F8D">
        <w:rPr>
          <w:rFonts w:ascii="Arial" w:hAnsi="Arial" w:cs="Arial"/>
          <w:u w:val="single"/>
          <w:lang w:val="en-US"/>
        </w:rPr>
        <w:t xml:space="preserve">What did </w:t>
      </w:r>
      <w:proofErr w:type="spellStart"/>
      <w:r w:rsidRPr="004D1F8D">
        <w:rPr>
          <w:rFonts w:ascii="Arial" w:hAnsi="Arial" w:cs="Arial"/>
          <w:u w:val="single"/>
          <w:lang w:val="en-US"/>
        </w:rPr>
        <w:t>Mr</w:t>
      </w:r>
      <w:proofErr w:type="spellEnd"/>
      <w:r w:rsidRPr="004D1F8D">
        <w:rPr>
          <w:rFonts w:ascii="Arial" w:hAnsi="Arial" w:cs="Arial"/>
          <w:u w:val="single"/>
          <w:lang w:val="en-US"/>
        </w:rPr>
        <w:t xml:space="preserve"> Keenan do and/or say?</w:t>
      </w:r>
    </w:p>
    <w:p w:rsidR="004D1F8D" w:rsidRPr="004D1F8D" w:rsidRDefault="004D1F8D" w:rsidP="00774BF9">
      <w:pPr>
        <w:spacing w:line="240" w:lineRule="auto"/>
        <w:jc w:val="both"/>
        <w:rPr>
          <w:rFonts w:ascii="Arial" w:hAnsi="Arial" w:cs="Arial"/>
          <w:lang w:val="en-US"/>
        </w:rPr>
      </w:pPr>
      <w:r w:rsidRPr="004D1F8D">
        <w:rPr>
          <w:rFonts w:ascii="Arial" w:hAnsi="Arial" w:cs="Arial"/>
          <w:lang w:val="en-US"/>
        </w:rPr>
        <w:t>Told a Director to “F*** off mate!”</w:t>
      </w:r>
    </w:p>
    <w:p w:rsidR="004D1F8D" w:rsidRPr="004D1F8D" w:rsidRDefault="004D1F8D" w:rsidP="00774BF9">
      <w:pPr>
        <w:spacing w:line="240" w:lineRule="auto"/>
        <w:jc w:val="both"/>
        <w:rPr>
          <w:rFonts w:ascii="Arial" w:hAnsi="Arial" w:cs="Arial"/>
          <w:color w:val="000000"/>
          <w:lang w:eastAsia="en-AU"/>
        </w:rPr>
      </w:pPr>
      <w:r w:rsidRPr="004D1F8D">
        <w:rPr>
          <w:rFonts w:ascii="Arial" w:hAnsi="Arial" w:cs="Arial"/>
          <w:lang w:val="en-US"/>
        </w:rPr>
        <w:t>Asked a female senior employee</w:t>
      </w:r>
      <w:r w:rsidRPr="004D1F8D">
        <w:rPr>
          <w:rFonts w:ascii="Arial" w:hAnsi="Arial" w:cs="Arial"/>
          <w:color w:val="000000"/>
          <w:lang w:eastAsia="en-AU"/>
        </w:rPr>
        <w:t>: "What do you even do? No seriously. Who the f*** are you? What do you even do here?</w:t>
      </w:r>
      <w:proofErr w:type="gramStart"/>
      <w:r w:rsidRPr="004D1F8D">
        <w:rPr>
          <w:rFonts w:ascii="Arial" w:hAnsi="Arial" w:cs="Arial"/>
          <w:color w:val="000000"/>
          <w:lang w:eastAsia="en-AU"/>
        </w:rPr>
        <w:t>".</w:t>
      </w:r>
      <w:proofErr w:type="gramEnd"/>
    </w:p>
    <w:p w:rsidR="004D1F8D" w:rsidRPr="004D1F8D" w:rsidRDefault="004D1F8D" w:rsidP="00774BF9">
      <w:pPr>
        <w:spacing w:line="240" w:lineRule="auto"/>
        <w:jc w:val="both"/>
        <w:rPr>
          <w:rFonts w:ascii="Arial" w:hAnsi="Arial" w:cs="Arial"/>
          <w:lang w:val="en-US"/>
        </w:rPr>
      </w:pPr>
      <w:r w:rsidRPr="004D1F8D">
        <w:rPr>
          <w:rFonts w:ascii="Arial" w:hAnsi="Arial" w:cs="Arial"/>
          <w:color w:val="000000"/>
          <w:lang w:eastAsia="en-AU"/>
        </w:rPr>
        <w:lastRenderedPageBreak/>
        <w:t>He then turned his attention to a female Manager and said "I want to ask for your number, but I don't want to be rejected".  She did not respond to this or the three or four subsequent requests.</w:t>
      </w:r>
    </w:p>
    <w:p w:rsidR="004D1F8D" w:rsidRPr="004D1F8D" w:rsidRDefault="004D1F8D" w:rsidP="00774BF9">
      <w:pPr>
        <w:spacing w:line="240" w:lineRule="auto"/>
        <w:jc w:val="both"/>
        <w:rPr>
          <w:rFonts w:ascii="Arial" w:hAnsi="Arial" w:cs="Arial"/>
          <w:color w:val="000000"/>
          <w:lang w:eastAsia="en-AU"/>
        </w:rPr>
      </w:pPr>
      <w:r w:rsidRPr="004D1F8D">
        <w:rPr>
          <w:rFonts w:ascii="Arial" w:hAnsi="Arial" w:cs="Arial"/>
          <w:color w:val="000000"/>
          <w:lang w:eastAsia="en-AU"/>
        </w:rPr>
        <w:t>Asked another female employee "Why the f*** are you talking to Kevin?", and later telling her "I used to think you were a stuck up bitch, but Ryan says you are alright. If Ryan likes you then you must be ok".</w:t>
      </w:r>
    </w:p>
    <w:p w:rsidR="004D1F8D" w:rsidRPr="004D1F8D" w:rsidRDefault="004D1F8D" w:rsidP="00774BF9">
      <w:pPr>
        <w:spacing w:line="240" w:lineRule="auto"/>
        <w:jc w:val="both"/>
        <w:rPr>
          <w:rFonts w:ascii="Arial" w:hAnsi="Arial" w:cs="Arial"/>
          <w:color w:val="000000"/>
          <w:lang w:eastAsia="en-AU"/>
        </w:rPr>
      </w:pPr>
      <w:r w:rsidRPr="004D1F8D">
        <w:rPr>
          <w:rFonts w:ascii="Arial" w:hAnsi="Arial" w:cs="Arial"/>
          <w:color w:val="000000"/>
          <w:lang w:eastAsia="en-AU"/>
        </w:rPr>
        <w:t xml:space="preserve">Grabbed his fifth victim by the head and kissed </w:t>
      </w:r>
      <w:r>
        <w:rPr>
          <w:rFonts w:ascii="Arial" w:hAnsi="Arial" w:cs="Arial"/>
          <w:color w:val="000000"/>
          <w:lang w:eastAsia="en-AU"/>
        </w:rPr>
        <w:t xml:space="preserve">her </w:t>
      </w:r>
      <w:r w:rsidRPr="004D1F8D">
        <w:rPr>
          <w:rFonts w:ascii="Arial" w:hAnsi="Arial" w:cs="Arial"/>
          <w:color w:val="000000"/>
          <w:lang w:eastAsia="en-AU"/>
        </w:rPr>
        <w:t xml:space="preserve">on </w:t>
      </w:r>
      <w:r>
        <w:rPr>
          <w:rFonts w:ascii="Arial" w:hAnsi="Arial" w:cs="Arial"/>
          <w:color w:val="000000"/>
          <w:lang w:eastAsia="en-AU"/>
        </w:rPr>
        <w:t xml:space="preserve">the </w:t>
      </w:r>
      <w:r w:rsidRPr="004D1F8D">
        <w:rPr>
          <w:rFonts w:ascii="Arial" w:hAnsi="Arial" w:cs="Arial"/>
          <w:color w:val="000000"/>
          <w:lang w:eastAsia="en-AU"/>
        </w:rPr>
        <w:t xml:space="preserve">mouth.  Later telling her: "I'm going to go home and dream about you tonight". </w:t>
      </w:r>
    </w:p>
    <w:p w:rsidR="004D1F8D" w:rsidRPr="004D1F8D" w:rsidRDefault="004D1F8D" w:rsidP="00774BF9">
      <w:pPr>
        <w:spacing w:line="240" w:lineRule="auto"/>
        <w:jc w:val="both"/>
        <w:rPr>
          <w:rFonts w:ascii="Arial" w:hAnsi="Arial" w:cs="Arial"/>
          <w:lang w:val="en-US"/>
        </w:rPr>
      </w:pPr>
      <w:r w:rsidRPr="004D1F8D">
        <w:rPr>
          <w:rFonts w:ascii="Arial" w:hAnsi="Arial" w:cs="Arial"/>
          <w:color w:val="000000"/>
          <w:lang w:eastAsia="en-AU"/>
        </w:rPr>
        <w:t xml:space="preserve">Finally, he told another female employee that: "My mission tonight is to find out what colour knickers you have on". </w:t>
      </w:r>
    </w:p>
    <w:p w:rsidR="00C762FD" w:rsidRPr="00C762FD" w:rsidRDefault="00C762FD" w:rsidP="000344D5">
      <w:pPr>
        <w:spacing w:line="240" w:lineRule="auto"/>
        <w:jc w:val="both"/>
        <w:rPr>
          <w:rFonts w:ascii="Arial" w:hAnsi="Arial" w:cs="Arial"/>
          <w:u w:val="single"/>
          <w:lang w:val="en-US"/>
        </w:rPr>
      </w:pPr>
      <w:r w:rsidRPr="00C762FD">
        <w:rPr>
          <w:rFonts w:ascii="Arial" w:hAnsi="Arial" w:cs="Arial"/>
          <w:u w:val="single"/>
          <w:lang w:val="en-US"/>
        </w:rPr>
        <w:t>The employer’s response</w:t>
      </w:r>
    </w:p>
    <w:p w:rsidR="00C762FD" w:rsidRPr="00C762FD" w:rsidRDefault="00C762FD" w:rsidP="000344D5">
      <w:pPr>
        <w:spacing w:line="240" w:lineRule="auto"/>
        <w:jc w:val="both"/>
        <w:rPr>
          <w:rFonts w:ascii="Arial" w:hAnsi="Arial" w:cs="Arial"/>
          <w:lang w:val="en-US"/>
        </w:rPr>
      </w:pPr>
      <w:r w:rsidRPr="00C762FD">
        <w:rPr>
          <w:rFonts w:ascii="Arial" w:hAnsi="Arial" w:cs="Arial"/>
          <w:lang w:val="en-US"/>
        </w:rPr>
        <w:t>Following the incident, the employer scheduled an informal meeting with the employee.  A subsequent meeting ensued, where the employer gave the employee and his representative the chance to respond.  During the second meeting, the employer failed to explain the dismissal in clear terms and identify the factual content of most of the allegations in a way which the employee could provide an informed response.  The employee was subsequently dismissed.</w:t>
      </w:r>
    </w:p>
    <w:p w:rsidR="00C762FD" w:rsidRPr="00C762FD" w:rsidRDefault="00C762FD" w:rsidP="000344D5">
      <w:pPr>
        <w:spacing w:line="240" w:lineRule="auto"/>
        <w:jc w:val="both"/>
        <w:rPr>
          <w:rFonts w:ascii="Arial" w:hAnsi="Arial" w:cs="Arial"/>
          <w:u w:val="single"/>
          <w:lang w:val="en-US"/>
        </w:rPr>
      </w:pPr>
      <w:r w:rsidRPr="00C762FD">
        <w:rPr>
          <w:rFonts w:ascii="Arial" w:hAnsi="Arial" w:cs="Arial"/>
          <w:u w:val="single"/>
          <w:lang w:val="en-US"/>
        </w:rPr>
        <w:t>The FWC’s decision</w:t>
      </w:r>
    </w:p>
    <w:p w:rsidR="00C762FD" w:rsidRPr="00C762FD" w:rsidRDefault="00C762FD" w:rsidP="000344D5">
      <w:pPr>
        <w:spacing w:line="240" w:lineRule="auto"/>
        <w:jc w:val="both"/>
        <w:rPr>
          <w:rFonts w:ascii="Arial" w:hAnsi="Arial" w:cs="Arial"/>
        </w:rPr>
      </w:pPr>
      <w:r w:rsidRPr="00C762FD">
        <w:rPr>
          <w:rFonts w:ascii="Arial" w:hAnsi="Arial" w:cs="Arial"/>
          <w:lang w:val="en-US"/>
        </w:rPr>
        <w:t xml:space="preserve">The FWC determined that the allegations against the employee where not clearly communicated to employee in the second meeting (see: </w:t>
      </w:r>
      <w:r w:rsidRPr="00C762FD">
        <w:rPr>
          <w:rFonts w:ascii="Arial" w:hAnsi="Arial" w:cs="Arial"/>
        </w:rPr>
        <w:t xml:space="preserve">s 387(b)).  </w:t>
      </w:r>
      <w:r w:rsidRPr="00C762FD">
        <w:rPr>
          <w:rFonts w:ascii="Arial" w:hAnsi="Arial" w:cs="Arial"/>
          <w:lang w:val="en-US"/>
        </w:rPr>
        <w:t xml:space="preserve">As a result, the FWC found that the employee was denied the opportunity to respond to the allegations and further, he was denied the presence of a support person during the first meeting (see: </w:t>
      </w:r>
      <w:r w:rsidRPr="00C762FD">
        <w:rPr>
          <w:rFonts w:ascii="Arial" w:hAnsi="Arial" w:cs="Arial"/>
        </w:rPr>
        <w:t>s 387(d)).</w:t>
      </w:r>
    </w:p>
    <w:p w:rsidR="00C762FD" w:rsidRPr="00C762FD" w:rsidRDefault="00C762FD" w:rsidP="000344D5">
      <w:pPr>
        <w:spacing w:line="240" w:lineRule="auto"/>
        <w:jc w:val="both"/>
        <w:rPr>
          <w:rFonts w:ascii="Arial" w:hAnsi="Arial" w:cs="Arial"/>
          <w:b/>
        </w:rPr>
      </w:pPr>
      <w:r w:rsidRPr="00C762FD">
        <w:rPr>
          <w:rFonts w:ascii="Arial" w:hAnsi="Arial" w:cs="Arial"/>
          <w:lang w:val="en-US"/>
        </w:rPr>
        <w:t xml:space="preserve">The FWC also considered similar incidents and how the employer had handled them in the past.  In contrast to the action taken by the employer in response to the employee’s </w:t>
      </w:r>
      <w:proofErr w:type="spellStart"/>
      <w:r w:rsidRPr="00C762FD">
        <w:rPr>
          <w:rFonts w:ascii="Arial" w:hAnsi="Arial" w:cs="Arial"/>
          <w:lang w:val="en-US"/>
        </w:rPr>
        <w:t>behaviour</w:t>
      </w:r>
      <w:proofErr w:type="spellEnd"/>
      <w:r w:rsidRPr="00C762FD">
        <w:rPr>
          <w:rFonts w:ascii="Arial" w:hAnsi="Arial" w:cs="Arial"/>
          <w:lang w:val="en-US"/>
        </w:rPr>
        <w:t xml:space="preserve">, the employer took no action against another employee after he </w:t>
      </w:r>
      <w:proofErr w:type="spellStart"/>
      <w:r w:rsidRPr="00C762FD">
        <w:rPr>
          <w:rFonts w:ascii="Arial" w:hAnsi="Arial" w:cs="Arial"/>
          <w:lang w:val="en-US"/>
        </w:rPr>
        <w:t>apologised</w:t>
      </w:r>
      <w:proofErr w:type="spellEnd"/>
      <w:r w:rsidRPr="00C762FD">
        <w:rPr>
          <w:rFonts w:ascii="Arial" w:hAnsi="Arial" w:cs="Arial"/>
          <w:lang w:val="en-US"/>
        </w:rPr>
        <w:t xml:space="preserve"> for his actions.  The FWC reiterated the well established principal that differential treatment of similar misconduct by an employer may provide a legitimate basis to find that a dismissal is unfair (see: </w:t>
      </w:r>
      <w:r w:rsidRPr="00C762FD">
        <w:rPr>
          <w:rFonts w:ascii="Arial" w:hAnsi="Arial" w:cs="Arial"/>
        </w:rPr>
        <w:t>s 387(h)).</w:t>
      </w:r>
      <w:r w:rsidRPr="00C762FD">
        <w:rPr>
          <w:rFonts w:ascii="Arial" w:hAnsi="Arial" w:cs="Arial"/>
          <w:b/>
        </w:rPr>
        <w:t xml:space="preserve"> </w:t>
      </w:r>
    </w:p>
    <w:p w:rsidR="00C762FD" w:rsidRPr="00C762FD" w:rsidRDefault="00C762FD" w:rsidP="000344D5">
      <w:pPr>
        <w:spacing w:line="240" w:lineRule="auto"/>
        <w:jc w:val="both"/>
        <w:rPr>
          <w:rFonts w:ascii="Arial" w:hAnsi="Arial" w:cs="Arial"/>
          <w:u w:val="single"/>
        </w:rPr>
      </w:pPr>
      <w:r w:rsidRPr="00C762FD">
        <w:rPr>
          <w:rFonts w:ascii="Arial" w:hAnsi="Arial" w:cs="Arial"/>
          <w:i/>
          <w:u w:val="single"/>
        </w:rPr>
        <w:t xml:space="preserve">Cannon v Poultry Harvesting Pty Ltd </w:t>
      </w:r>
      <w:r w:rsidRPr="00C762FD">
        <w:rPr>
          <w:rFonts w:ascii="Arial" w:hAnsi="Arial" w:cs="Arial"/>
          <w:u w:val="single"/>
        </w:rPr>
        <w:t>[2015] FWC 3126</w:t>
      </w:r>
    </w:p>
    <w:p w:rsidR="00C762FD" w:rsidRPr="00C762FD" w:rsidRDefault="00C762FD" w:rsidP="000344D5">
      <w:pPr>
        <w:spacing w:line="240" w:lineRule="auto"/>
        <w:jc w:val="both"/>
        <w:rPr>
          <w:rFonts w:ascii="Arial" w:hAnsi="Arial" w:cs="Arial"/>
          <w:u w:val="single"/>
          <w:lang w:val="en-US"/>
        </w:rPr>
      </w:pPr>
      <w:r w:rsidRPr="00C762FD">
        <w:rPr>
          <w:rFonts w:ascii="Arial" w:hAnsi="Arial" w:cs="Arial"/>
          <w:u w:val="single"/>
          <w:lang w:val="en-US"/>
        </w:rPr>
        <w:t>Facts</w:t>
      </w:r>
    </w:p>
    <w:p w:rsidR="00C762FD" w:rsidRPr="00C762FD" w:rsidRDefault="00C762FD" w:rsidP="000344D5">
      <w:pPr>
        <w:spacing w:line="240" w:lineRule="auto"/>
        <w:jc w:val="both"/>
        <w:rPr>
          <w:rFonts w:ascii="Arial" w:hAnsi="Arial" w:cs="Arial"/>
          <w:lang w:val="en-US"/>
        </w:rPr>
      </w:pPr>
      <w:r w:rsidRPr="00C762FD">
        <w:rPr>
          <w:rFonts w:ascii="Arial" w:hAnsi="Arial" w:cs="Arial"/>
          <w:lang w:val="en-US"/>
        </w:rPr>
        <w:t>The employee was a chicken farm worker and fell asleep while operating machinery the morning after Melbourne Cup.  As a result, the employee smothered approximately 50-60 chickens.  Prior to commencing her shift, the employee had admitted to drinking alcohol.  However, the employee denied being intoxicated.</w:t>
      </w:r>
    </w:p>
    <w:p w:rsidR="00C762FD" w:rsidRPr="00C762FD" w:rsidRDefault="00C762FD" w:rsidP="000344D5">
      <w:pPr>
        <w:spacing w:line="240" w:lineRule="auto"/>
        <w:jc w:val="both"/>
        <w:rPr>
          <w:rFonts w:ascii="Arial" w:hAnsi="Arial" w:cs="Arial"/>
          <w:u w:val="single"/>
          <w:lang w:val="en-US"/>
        </w:rPr>
      </w:pPr>
      <w:r w:rsidRPr="00C762FD">
        <w:rPr>
          <w:rFonts w:ascii="Arial" w:hAnsi="Arial" w:cs="Arial"/>
          <w:u w:val="single"/>
          <w:lang w:val="en-US"/>
        </w:rPr>
        <w:t>The employer’s response</w:t>
      </w:r>
    </w:p>
    <w:p w:rsidR="00C762FD" w:rsidRDefault="00C762FD" w:rsidP="000344D5">
      <w:pPr>
        <w:spacing w:line="240" w:lineRule="auto"/>
        <w:jc w:val="both"/>
        <w:rPr>
          <w:rFonts w:ascii="Arial" w:hAnsi="Arial" w:cs="Arial"/>
          <w:lang w:val="en-US"/>
        </w:rPr>
      </w:pPr>
      <w:r w:rsidRPr="00C762FD">
        <w:rPr>
          <w:rFonts w:ascii="Arial" w:hAnsi="Arial" w:cs="Arial"/>
          <w:lang w:val="en-US"/>
        </w:rPr>
        <w:t>Shortly after hearing about the incident, the employer called the employee and told her to go home and said her conduct was enough to fire her.  However, a few hours later, the employer called the employee again and dismissed her over the phone.  The employer claimed that the employee was intoxicated and would cause a “serious and imminent” health and safety risk.</w:t>
      </w:r>
    </w:p>
    <w:p w:rsidR="00774BF9" w:rsidRDefault="00774BF9" w:rsidP="000344D5">
      <w:pPr>
        <w:spacing w:line="240" w:lineRule="auto"/>
        <w:jc w:val="both"/>
        <w:rPr>
          <w:rFonts w:ascii="Arial" w:hAnsi="Arial" w:cs="Arial"/>
          <w:lang w:val="en-US"/>
        </w:rPr>
      </w:pPr>
    </w:p>
    <w:p w:rsidR="00774BF9" w:rsidRPr="00C762FD" w:rsidRDefault="00774BF9" w:rsidP="000344D5">
      <w:pPr>
        <w:spacing w:line="240" w:lineRule="auto"/>
        <w:jc w:val="both"/>
        <w:rPr>
          <w:rFonts w:ascii="Arial" w:hAnsi="Arial" w:cs="Arial"/>
          <w:lang w:val="en-US"/>
        </w:rPr>
      </w:pPr>
    </w:p>
    <w:p w:rsidR="00C762FD" w:rsidRPr="00C762FD" w:rsidRDefault="00C762FD" w:rsidP="000344D5">
      <w:pPr>
        <w:spacing w:line="240" w:lineRule="auto"/>
        <w:jc w:val="both"/>
        <w:rPr>
          <w:rFonts w:ascii="Arial" w:hAnsi="Arial" w:cs="Arial"/>
          <w:u w:val="single"/>
          <w:lang w:val="en-US"/>
        </w:rPr>
      </w:pPr>
      <w:r w:rsidRPr="00C762FD">
        <w:rPr>
          <w:rFonts w:ascii="Arial" w:hAnsi="Arial" w:cs="Arial"/>
          <w:u w:val="single"/>
          <w:lang w:val="en-US"/>
        </w:rPr>
        <w:lastRenderedPageBreak/>
        <w:t>The FWC’s decision</w:t>
      </w:r>
    </w:p>
    <w:p w:rsidR="00C762FD" w:rsidRPr="00C762FD" w:rsidRDefault="00C762FD" w:rsidP="000344D5">
      <w:pPr>
        <w:spacing w:line="240" w:lineRule="auto"/>
        <w:jc w:val="both"/>
        <w:rPr>
          <w:rFonts w:ascii="Arial" w:hAnsi="Arial" w:cs="Arial"/>
          <w:lang w:val="en-US"/>
        </w:rPr>
      </w:pPr>
      <w:r w:rsidRPr="00C762FD">
        <w:rPr>
          <w:rFonts w:ascii="Arial" w:hAnsi="Arial" w:cs="Arial"/>
          <w:lang w:val="en-US"/>
        </w:rPr>
        <w:t>The FWC determined that the employer had insufficient knowledge regarding the employee’s condition (having not been on site at the time the incident occurred) to form a view that she was intoxicated.  Therefore, the employer took no steps to objectively assess her condition before dismissing her.  As a result, the employee was never provided with an opportunity to respond to the allegations against her (see: s 367(c)).</w:t>
      </w:r>
    </w:p>
    <w:p w:rsidR="00C762FD" w:rsidRPr="00C762FD" w:rsidRDefault="00C762FD" w:rsidP="000344D5">
      <w:pPr>
        <w:spacing w:line="240" w:lineRule="auto"/>
        <w:jc w:val="both"/>
        <w:rPr>
          <w:rFonts w:ascii="Arial" w:hAnsi="Arial" w:cs="Arial"/>
          <w:lang w:val="en-US"/>
        </w:rPr>
      </w:pPr>
      <w:r w:rsidRPr="00C762FD">
        <w:rPr>
          <w:rFonts w:ascii="Arial" w:hAnsi="Arial" w:cs="Arial"/>
          <w:lang w:val="en-US"/>
        </w:rPr>
        <w:t>The FWC also considered a number of the employer’s policies, finding that there was insufficient evidence to show the employee was bound to a zero-tolerance alcohol policy at work.  This serves as a friendly reminder to employers to ensure company policies are known and available to employees.</w:t>
      </w:r>
    </w:p>
    <w:p w:rsidR="00C762FD" w:rsidRPr="00C762FD" w:rsidRDefault="00C762FD" w:rsidP="000344D5">
      <w:pPr>
        <w:spacing w:line="240" w:lineRule="auto"/>
        <w:rPr>
          <w:rFonts w:ascii="Arial" w:eastAsia="Times New Roman" w:hAnsi="Arial" w:cs="Arial"/>
          <w:b/>
          <w:u w:val="single"/>
        </w:rPr>
      </w:pPr>
    </w:p>
    <w:p w:rsidR="000344D5" w:rsidRDefault="000344D5">
      <w:pPr>
        <w:rPr>
          <w:rFonts w:ascii="Arial" w:eastAsia="Times New Roman" w:hAnsi="Arial" w:cs="Arial"/>
          <w:b/>
          <w:u w:val="single"/>
        </w:rPr>
      </w:pPr>
      <w:r>
        <w:rPr>
          <w:rFonts w:ascii="Arial" w:eastAsia="Times New Roman" w:hAnsi="Arial" w:cs="Arial"/>
          <w:b/>
          <w:u w:val="single"/>
        </w:rPr>
        <w:br w:type="page"/>
      </w:r>
    </w:p>
    <w:p w:rsidR="00C762FD" w:rsidRPr="00C762FD" w:rsidRDefault="00C762FD" w:rsidP="000344D5">
      <w:pPr>
        <w:spacing w:line="240" w:lineRule="auto"/>
        <w:rPr>
          <w:rFonts w:ascii="Arial" w:eastAsia="Times New Roman" w:hAnsi="Arial" w:cs="Arial"/>
          <w:b/>
          <w:u w:val="single"/>
        </w:rPr>
      </w:pPr>
      <w:r w:rsidRPr="00C762FD">
        <w:rPr>
          <w:rFonts w:ascii="Arial" w:eastAsia="Times New Roman" w:hAnsi="Arial" w:cs="Arial"/>
          <w:b/>
          <w:u w:val="single"/>
        </w:rPr>
        <w:lastRenderedPageBreak/>
        <w:t xml:space="preserve">Liquidators Rules – </w:t>
      </w:r>
    </w:p>
    <w:p w:rsidR="00C762FD" w:rsidRPr="00C762FD" w:rsidRDefault="00C762FD" w:rsidP="000344D5">
      <w:pPr>
        <w:spacing w:line="240" w:lineRule="auto"/>
        <w:rPr>
          <w:rFonts w:ascii="Arial" w:eastAsia="Times New Roman" w:hAnsi="Arial" w:cs="Arial"/>
          <w:b/>
        </w:rPr>
      </w:pPr>
    </w:p>
    <w:p w:rsidR="00C762FD" w:rsidRPr="00C762FD" w:rsidRDefault="00C762FD" w:rsidP="000344D5">
      <w:pPr>
        <w:spacing w:line="240" w:lineRule="auto"/>
        <w:rPr>
          <w:rFonts w:ascii="Arial" w:eastAsia="Times New Roman" w:hAnsi="Arial" w:cs="Arial"/>
          <w:b/>
        </w:rPr>
      </w:pPr>
      <w:r w:rsidRPr="00C762FD">
        <w:rPr>
          <w:rFonts w:ascii="Arial" w:eastAsia="Times New Roman" w:hAnsi="Arial" w:cs="Arial"/>
          <w:b/>
        </w:rPr>
        <w:t>[57] For the above reasons, I find that, in accordance with  s.500(2) of the Corporations Act, Ms Stocker is required to seek leave of the Court as defined in s.58AA of the Corporations Act, before the Tribunal can continue with these proceedings.</w:t>
      </w:r>
    </w:p>
    <w:p w:rsidR="00C762FD" w:rsidRPr="00C762FD" w:rsidRDefault="00C762FD" w:rsidP="000344D5">
      <w:pPr>
        <w:spacing w:line="240" w:lineRule="auto"/>
        <w:rPr>
          <w:rFonts w:ascii="Arial" w:eastAsia="Times New Roman" w:hAnsi="Arial" w:cs="Arial"/>
          <w:i/>
        </w:rPr>
      </w:pPr>
      <w:r w:rsidRPr="00C762FD">
        <w:rPr>
          <w:rFonts w:ascii="Arial" w:eastAsia="Times New Roman" w:hAnsi="Arial" w:cs="Arial"/>
          <w:i/>
        </w:rPr>
        <w:t>Stocker v A.B.C. Developmental Learning Centre Pty Ltd (Administrators Appointed) (Receivers and Managers Appointed) t/as A.B.C. Learning Centre [2011] FWA 2326 (16 May 2011), quoting Australian Liquor, Hospitality &amp; Miscellaneous Workers’ Union v Home Care Transport Pty Ltd (in liquidation) [2002] FCA 497 - paras 22 and 23</w:t>
      </w:r>
    </w:p>
    <w:p w:rsidR="00C762FD" w:rsidRPr="00C762FD" w:rsidRDefault="00C762FD" w:rsidP="000344D5">
      <w:pPr>
        <w:spacing w:line="240" w:lineRule="auto"/>
        <w:rPr>
          <w:rFonts w:ascii="Arial" w:eastAsia="Times New Roman" w:hAnsi="Arial" w:cs="Arial"/>
          <w:i/>
        </w:rPr>
      </w:pPr>
      <w:r w:rsidRPr="00C762FD">
        <w:rPr>
          <w:rFonts w:ascii="Arial" w:eastAsia="Times New Roman" w:hAnsi="Arial" w:cs="Arial"/>
          <w:i/>
        </w:rPr>
        <w:t>Followed in NSW Nurses &amp; Midwives' Association v SOS Nursing &amp; Home Care Service Pty Ltd &amp; Anor [2015] FCCA 2181 (14 August 2015) as applied to section 471B</w:t>
      </w:r>
    </w:p>
    <w:p w:rsidR="00C762FD" w:rsidRPr="00C762FD" w:rsidRDefault="00C762FD" w:rsidP="000344D5">
      <w:pPr>
        <w:spacing w:line="240" w:lineRule="auto"/>
        <w:rPr>
          <w:rFonts w:ascii="Arial" w:eastAsia="Times New Roman" w:hAnsi="Arial" w:cs="Arial"/>
          <w:i/>
        </w:rPr>
      </w:pPr>
      <w:r w:rsidRPr="00C762FD">
        <w:rPr>
          <w:rFonts w:ascii="Arial" w:eastAsia="Times New Roman" w:hAnsi="Arial" w:cs="Arial"/>
          <w:i/>
        </w:rPr>
        <w:t xml:space="preserve">However, decisions to the contrary in Letizia v Australian Music Group T/A </w:t>
      </w:r>
      <w:proofErr w:type="spellStart"/>
      <w:r w:rsidRPr="00C762FD">
        <w:rPr>
          <w:rFonts w:ascii="Arial" w:eastAsia="Times New Roman" w:hAnsi="Arial" w:cs="Arial"/>
          <w:i/>
        </w:rPr>
        <w:t>Allans</w:t>
      </w:r>
      <w:proofErr w:type="spellEnd"/>
      <w:r w:rsidRPr="00C762FD">
        <w:rPr>
          <w:rFonts w:ascii="Arial" w:eastAsia="Times New Roman" w:hAnsi="Arial" w:cs="Arial"/>
          <w:i/>
        </w:rPr>
        <w:t xml:space="preserve"> Billy Hyde Music [2012] FWA 9609 (9 November 2012) and Hamilton v </w:t>
      </w:r>
      <w:proofErr w:type="spellStart"/>
      <w:r w:rsidRPr="00C762FD">
        <w:rPr>
          <w:rFonts w:ascii="Arial" w:eastAsia="Times New Roman" w:hAnsi="Arial" w:cs="Arial"/>
          <w:i/>
        </w:rPr>
        <w:t>Bwanolar</w:t>
      </w:r>
      <w:proofErr w:type="spellEnd"/>
      <w:r w:rsidRPr="00C762FD">
        <w:rPr>
          <w:rFonts w:ascii="Arial" w:eastAsia="Times New Roman" w:hAnsi="Arial" w:cs="Arial"/>
          <w:i/>
        </w:rPr>
        <w:t xml:space="preserve"> Pty Ltd [2014] FWC 7056 (15 October 2014) and Krebs v [2015] FWC 1232 (6 March 2015)</w:t>
      </w:r>
    </w:p>
    <w:p w:rsidR="00C762FD" w:rsidRPr="00C762FD" w:rsidRDefault="00C762FD" w:rsidP="000344D5">
      <w:pPr>
        <w:spacing w:line="240" w:lineRule="auto"/>
        <w:rPr>
          <w:rFonts w:ascii="Arial" w:eastAsia="Times New Roman" w:hAnsi="Arial" w:cs="Arial"/>
          <w:b/>
        </w:rPr>
      </w:pPr>
    </w:p>
    <w:p w:rsidR="00C762FD" w:rsidRPr="00C762FD" w:rsidRDefault="00C762FD" w:rsidP="000344D5">
      <w:pPr>
        <w:spacing w:line="240" w:lineRule="auto"/>
        <w:rPr>
          <w:rFonts w:ascii="Arial" w:eastAsia="Times New Roman" w:hAnsi="Arial" w:cs="Arial"/>
          <w:b/>
        </w:rPr>
      </w:pPr>
      <w:r w:rsidRPr="00C762FD">
        <w:rPr>
          <w:rFonts w:ascii="Arial" w:eastAsia="Times New Roman" w:hAnsi="Arial" w:cs="Arial"/>
          <w:b/>
        </w:rPr>
        <w:t>Employee dismissed by liquidator is not entitled to sue the Liquidator’s firm;</w:t>
      </w:r>
    </w:p>
    <w:p w:rsidR="00C762FD" w:rsidRPr="00C762FD" w:rsidRDefault="00C762FD" w:rsidP="000344D5">
      <w:pPr>
        <w:spacing w:line="240" w:lineRule="auto"/>
        <w:rPr>
          <w:rFonts w:ascii="Arial" w:eastAsia="Times New Roman" w:hAnsi="Arial" w:cs="Arial"/>
          <w:i/>
        </w:rPr>
      </w:pPr>
      <w:r w:rsidRPr="00C762FD">
        <w:rPr>
          <w:rFonts w:ascii="Arial" w:eastAsia="Times New Roman" w:hAnsi="Arial" w:cs="Arial"/>
          <w:i/>
        </w:rPr>
        <w:t>Woo v Ferrier Hodgson [2015] FWCFB 3993 (25 June 2015)</w:t>
      </w:r>
    </w:p>
    <w:p w:rsidR="00C762FD" w:rsidRPr="00C762FD" w:rsidRDefault="00C762FD" w:rsidP="000344D5">
      <w:pPr>
        <w:spacing w:line="240" w:lineRule="auto"/>
        <w:rPr>
          <w:rFonts w:ascii="Arial" w:eastAsia="Times New Roman" w:hAnsi="Arial" w:cs="Arial"/>
          <w:b/>
        </w:rPr>
      </w:pPr>
    </w:p>
    <w:p w:rsidR="00C762FD" w:rsidRPr="00C762FD" w:rsidRDefault="00C762FD" w:rsidP="000344D5">
      <w:pPr>
        <w:spacing w:line="240" w:lineRule="auto"/>
        <w:rPr>
          <w:rFonts w:ascii="Arial" w:eastAsia="Times New Roman" w:hAnsi="Arial" w:cs="Arial"/>
          <w:b/>
        </w:rPr>
      </w:pPr>
      <w:r w:rsidRPr="00C762FD">
        <w:rPr>
          <w:rFonts w:ascii="Arial" w:eastAsia="Times New Roman" w:hAnsi="Arial" w:cs="Arial"/>
          <w:b/>
        </w:rPr>
        <w:t>Employee was not offered employment by the Purchaser of a business and unsuccessfully sued that Purchaser for redundancy, after the Vendor had been liquidated</w:t>
      </w:r>
    </w:p>
    <w:p w:rsidR="00C762FD" w:rsidRPr="00C762FD" w:rsidRDefault="00C762FD" w:rsidP="000344D5">
      <w:pPr>
        <w:spacing w:line="240" w:lineRule="auto"/>
        <w:rPr>
          <w:rFonts w:ascii="Arial" w:eastAsia="Times New Roman" w:hAnsi="Arial" w:cs="Arial"/>
          <w:i/>
        </w:rPr>
      </w:pPr>
      <w:r w:rsidRPr="00C762FD">
        <w:rPr>
          <w:rFonts w:ascii="Arial" w:eastAsia="Times New Roman" w:hAnsi="Arial" w:cs="Arial"/>
          <w:i/>
        </w:rPr>
        <w:t>McDonald v Super Butcher Australia Pty Ltd [2013] FWC 985 (14 February 2013)</w:t>
      </w:r>
    </w:p>
    <w:p w:rsidR="00C762FD" w:rsidRPr="00C762FD" w:rsidRDefault="00C762FD" w:rsidP="000344D5">
      <w:pPr>
        <w:spacing w:line="240" w:lineRule="auto"/>
        <w:rPr>
          <w:rFonts w:ascii="Arial" w:eastAsia="Times New Roman" w:hAnsi="Arial" w:cs="Arial"/>
          <w:b/>
        </w:rPr>
      </w:pPr>
    </w:p>
    <w:p w:rsidR="00C762FD" w:rsidRPr="00C762FD" w:rsidRDefault="00C762FD" w:rsidP="000344D5">
      <w:pPr>
        <w:spacing w:line="240" w:lineRule="auto"/>
        <w:rPr>
          <w:rFonts w:ascii="Arial" w:eastAsia="Times New Roman" w:hAnsi="Arial" w:cs="Arial"/>
          <w:b/>
        </w:rPr>
      </w:pPr>
      <w:r w:rsidRPr="00C762FD">
        <w:rPr>
          <w:rFonts w:ascii="Arial" w:eastAsia="Times New Roman" w:hAnsi="Arial" w:cs="Arial"/>
          <w:b/>
        </w:rPr>
        <w:t>If the voluntary administrator continues to trade the business, they must pay, out of the assets available to them, ongoing wages for services provided and other employee entitlements that arise after the date of their appointment. These payments are treated as an expense of the voluntary administration.</w:t>
      </w:r>
    </w:p>
    <w:p w:rsidR="00C762FD" w:rsidRPr="00C762FD" w:rsidRDefault="00C762FD" w:rsidP="000344D5">
      <w:pPr>
        <w:spacing w:line="240" w:lineRule="auto"/>
        <w:rPr>
          <w:rFonts w:ascii="Arial" w:eastAsia="Times New Roman" w:hAnsi="Arial" w:cs="Arial"/>
          <w:b/>
        </w:rPr>
      </w:pPr>
    </w:p>
    <w:p w:rsidR="00C762FD" w:rsidRPr="00C762FD" w:rsidRDefault="00C762FD" w:rsidP="000344D5">
      <w:pPr>
        <w:spacing w:line="240" w:lineRule="auto"/>
        <w:rPr>
          <w:rFonts w:ascii="Arial" w:eastAsia="Times New Roman" w:hAnsi="Arial" w:cs="Arial"/>
          <w:b/>
          <w:highlight w:val="yellow"/>
        </w:rPr>
      </w:pPr>
      <w:r w:rsidRPr="00C762FD">
        <w:rPr>
          <w:rFonts w:ascii="Arial" w:eastAsia="Times New Roman" w:hAnsi="Arial" w:cs="Arial"/>
          <w:b/>
        </w:rPr>
        <w:t xml:space="preserve">The appointment of a voluntary administrator does not automatically terminate the employment of the company’s employees. As a result, </w:t>
      </w:r>
      <w:r w:rsidRPr="00C762FD">
        <w:rPr>
          <w:rFonts w:ascii="Arial" w:eastAsia="Times New Roman" w:hAnsi="Arial" w:cs="Arial"/>
          <w:b/>
          <w:u w:val="single"/>
        </w:rPr>
        <w:t>unless the voluntary administrator adopts the employment contracts or enters into new contracts of employment with employees</w:t>
      </w:r>
      <w:r w:rsidRPr="00C762FD">
        <w:rPr>
          <w:rFonts w:ascii="Arial" w:eastAsia="Times New Roman" w:hAnsi="Arial" w:cs="Arial"/>
          <w:b/>
        </w:rPr>
        <w:t>, they are not personally liable for any employee entitlements that arise during voluntary administration.</w:t>
      </w:r>
    </w:p>
    <w:p w:rsidR="00C762FD" w:rsidRPr="00C762FD" w:rsidRDefault="008943B8" w:rsidP="000344D5">
      <w:pPr>
        <w:spacing w:line="240" w:lineRule="auto"/>
        <w:rPr>
          <w:rFonts w:ascii="Arial" w:eastAsia="Times New Roman" w:hAnsi="Arial" w:cs="Arial"/>
          <w:b/>
        </w:rPr>
      </w:pPr>
      <w:hyperlink r:id="rId8" w:anchor="3" w:history="1">
        <w:r w:rsidR="00C762FD" w:rsidRPr="00C762FD">
          <w:rPr>
            <w:rFonts w:ascii="Arial" w:eastAsia="Times New Roman" w:hAnsi="Arial" w:cs="Arial"/>
            <w:b/>
            <w:color w:val="0000FF" w:themeColor="hyperlink"/>
            <w:u w:val="single"/>
          </w:rPr>
          <w:t>http://asic.gov.au/regulatory-resources/insolvency/insolvency-for-employees/employees-voluntary-administration/#3</w:t>
        </w:r>
      </w:hyperlink>
    </w:p>
    <w:p w:rsidR="00C762FD" w:rsidRPr="00C762FD" w:rsidRDefault="00C762FD" w:rsidP="000344D5">
      <w:pPr>
        <w:spacing w:line="240" w:lineRule="auto"/>
        <w:rPr>
          <w:rFonts w:ascii="Arial" w:eastAsia="Times New Roman" w:hAnsi="Arial" w:cs="Arial"/>
        </w:rPr>
      </w:pPr>
    </w:p>
    <w:p w:rsidR="00C762FD" w:rsidRPr="00C762FD" w:rsidRDefault="00C762FD" w:rsidP="000344D5">
      <w:pPr>
        <w:spacing w:line="240" w:lineRule="auto"/>
        <w:rPr>
          <w:rFonts w:ascii="Arial" w:eastAsia="Times New Roman" w:hAnsi="Arial" w:cs="Arial"/>
        </w:rPr>
      </w:pPr>
      <w:r w:rsidRPr="00C762FD">
        <w:rPr>
          <w:rFonts w:ascii="Arial" w:eastAsia="Times New Roman" w:hAnsi="Arial" w:cs="Arial"/>
        </w:rPr>
        <w:t xml:space="preserve">6 The starting point is to deal with the effect of the appointment of a receiver on a contract of employment. Surprisingly, the law is still in a state of uncertainty. It is generally accepted that the appointment of a receiver by the court terminates the contract: </w:t>
      </w:r>
      <w:r w:rsidRPr="00C762FD">
        <w:rPr>
          <w:rFonts w:ascii="Arial" w:eastAsia="Times New Roman" w:hAnsi="Arial" w:cs="Arial"/>
          <w:i/>
        </w:rPr>
        <w:t xml:space="preserve">Reid v Explosives Co Ltd </w:t>
      </w:r>
      <w:r w:rsidRPr="00C762FD">
        <w:rPr>
          <w:rFonts w:ascii="Arial" w:eastAsia="Times New Roman" w:hAnsi="Arial" w:cs="Arial"/>
          <w:i/>
        </w:rPr>
        <w:lastRenderedPageBreak/>
        <w:t>(1887) 19 QBD 264; James Miller Holdings Ltd v Graham (1978) 3 ACLR 604.</w:t>
      </w:r>
      <w:r w:rsidRPr="00C762FD">
        <w:rPr>
          <w:rFonts w:ascii="Arial" w:eastAsia="Times New Roman" w:hAnsi="Arial" w:cs="Arial"/>
        </w:rPr>
        <w:t xml:space="preserve"> This view is not, however, universally accepted:</w:t>
      </w:r>
      <w:r w:rsidRPr="00C762FD">
        <w:rPr>
          <w:rFonts w:ascii="Arial" w:eastAsia="Times New Roman" w:hAnsi="Arial" w:cs="Arial"/>
          <w:i/>
        </w:rPr>
        <w:t xml:space="preserve"> </w:t>
      </w:r>
      <w:proofErr w:type="spellStart"/>
      <w:r w:rsidRPr="00C762FD">
        <w:rPr>
          <w:rFonts w:ascii="Arial" w:eastAsia="Times New Roman" w:hAnsi="Arial" w:cs="Arial"/>
          <w:i/>
        </w:rPr>
        <w:t>eg</w:t>
      </w:r>
      <w:proofErr w:type="spellEnd"/>
      <w:r w:rsidRPr="00C762FD">
        <w:rPr>
          <w:rFonts w:ascii="Arial" w:eastAsia="Times New Roman" w:hAnsi="Arial" w:cs="Arial"/>
          <w:i/>
        </w:rPr>
        <w:t xml:space="preserve"> International Harvester Export Co v International Harvester Australia Ltd [1983] </w:t>
      </w:r>
      <w:proofErr w:type="spellStart"/>
      <w:r w:rsidRPr="00C762FD">
        <w:rPr>
          <w:rFonts w:ascii="Arial" w:eastAsia="Times New Roman" w:hAnsi="Arial" w:cs="Arial"/>
          <w:i/>
        </w:rPr>
        <w:t>VicRp</w:t>
      </w:r>
      <w:proofErr w:type="spellEnd"/>
      <w:r w:rsidRPr="00C762FD">
        <w:rPr>
          <w:rFonts w:ascii="Arial" w:eastAsia="Times New Roman" w:hAnsi="Arial" w:cs="Arial"/>
          <w:i/>
        </w:rPr>
        <w:t xml:space="preserve"> 50; [1983] 1 VR 539; </w:t>
      </w:r>
      <w:proofErr w:type="spellStart"/>
      <w:r w:rsidRPr="00C762FD">
        <w:rPr>
          <w:rFonts w:ascii="Arial" w:eastAsia="Times New Roman" w:hAnsi="Arial" w:cs="Arial"/>
          <w:i/>
        </w:rPr>
        <w:t>Sipad</w:t>
      </w:r>
      <w:proofErr w:type="spellEnd"/>
      <w:r w:rsidRPr="00C762FD">
        <w:rPr>
          <w:rFonts w:ascii="Arial" w:eastAsia="Times New Roman" w:hAnsi="Arial" w:cs="Arial"/>
          <w:i/>
        </w:rPr>
        <w:t xml:space="preserve"> Holding DDPO v </w:t>
      </w:r>
      <w:proofErr w:type="spellStart"/>
      <w:r w:rsidRPr="00C762FD">
        <w:rPr>
          <w:rFonts w:ascii="Arial" w:eastAsia="Times New Roman" w:hAnsi="Arial" w:cs="Arial"/>
          <w:i/>
        </w:rPr>
        <w:t>Popovic</w:t>
      </w:r>
      <w:proofErr w:type="spellEnd"/>
      <w:r w:rsidRPr="00C762FD">
        <w:rPr>
          <w:rFonts w:ascii="Arial" w:eastAsia="Times New Roman" w:hAnsi="Arial" w:cs="Arial"/>
          <w:i/>
        </w:rPr>
        <w:t xml:space="preserve"> (1995) 14 ACLC 307.</w:t>
      </w:r>
      <w:r w:rsidRPr="00C762FD">
        <w:rPr>
          <w:rFonts w:ascii="Arial" w:eastAsia="Times New Roman" w:hAnsi="Arial" w:cs="Arial"/>
        </w:rPr>
        <w:t xml:space="preserve"> The rationale for the predominant view is that a court appointed receiver does not operate the concern on behalf of the company, but adverse to it. Speaking generally, the opposite is true in the case of </w:t>
      </w:r>
      <w:r w:rsidRPr="00C762FD">
        <w:rPr>
          <w:rFonts w:ascii="Arial" w:eastAsia="Times New Roman" w:hAnsi="Arial" w:cs="Arial"/>
          <w:b/>
        </w:rPr>
        <w:t xml:space="preserve">a privately appointed receiver who is the company's agent. In that event, the rule is that the contract of employment is not terminated: </w:t>
      </w:r>
      <w:r w:rsidRPr="00C762FD">
        <w:rPr>
          <w:rFonts w:ascii="Arial" w:eastAsia="Times New Roman" w:hAnsi="Arial" w:cs="Arial"/>
          <w:i/>
        </w:rPr>
        <w:t xml:space="preserve">Foster Clark </w:t>
      </w:r>
      <w:proofErr w:type="spellStart"/>
      <w:r w:rsidRPr="00C762FD">
        <w:rPr>
          <w:rFonts w:ascii="Arial" w:eastAsia="Times New Roman" w:hAnsi="Arial" w:cs="Arial"/>
          <w:i/>
        </w:rPr>
        <w:t>Ltd's</w:t>
      </w:r>
      <w:proofErr w:type="spellEnd"/>
      <w:r w:rsidRPr="00C762FD">
        <w:rPr>
          <w:rFonts w:ascii="Arial" w:eastAsia="Times New Roman" w:hAnsi="Arial" w:cs="Arial"/>
          <w:i/>
        </w:rPr>
        <w:t xml:space="preserve"> Indenture Trusts, Loveland v </w:t>
      </w:r>
      <w:proofErr w:type="spellStart"/>
      <w:r w:rsidRPr="00C762FD">
        <w:rPr>
          <w:rFonts w:ascii="Arial" w:eastAsia="Times New Roman" w:hAnsi="Arial" w:cs="Arial"/>
          <w:i/>
        </w:rPr>
        <w:t>Horscroft</w:t>
      </w:r>
      <w:proofErr w:type="spellEnd"/>
      <w:r w:rsidRPr="00C762FD">
        <w:rPr>
          <w:rFonts w:ascii="Arial" w:eastAsia="Times New Roman" w:hAnsi="Arial" w:cs="Arial"/>
          <w:i/>
        </w:rPr>
        <w:t xml:space="preserve"> [1966] 1 WLR 125; Nicoll v </w:t>
      </w:r>
      <w:proofErr w:type="spellStart"/>
      <w:proofErr w:type="gramStart"/>
      <w:r w:rsidRPr="00C762FD">
        <w:rPr>
          <w:rFonts w:ascii="Arial" w:eastAsia="Times New Roman" w:hAnsi="Arial" w:cs="Arial"/>
          <w:i/>
        </w:rPr>
        <w:t>Cutts</w:t>
      </w:r>
      <w:proofErr w:type="spellEnd"/>
      <w:r w:rsidRPr="00C762FD">
        <w:rPr>
          <w:rFonts w:ascii="Arial" w:eastAsia="Times New Roman" w:hAnsi="Arial" w:cs="Arial"/>
          <w:i/>
        </w:rPr>
        <w:t xml:space="preserve">  [</w:t>
      </w:r>
      <w:proofErr w:type="gramEnd"/>
      <w:r w:rsidRPr="00C762FD">
        <w:rPr>
          <w:rFonts w:ascii="Arial" w:eastAsia="Times New Roman" w:hAnsi="Arial" w:cs="Arial"/>
          <w:i/>
        </w:rPr>
        <w:t>1985] BCLC 322.</w:t>
      </w:r>
      <w:r w:rsidRPr="00C762FD">
        <w:rPr>
          <w:rFonts w:ascii="Arial" w:eastAsia="Times New Roman" w:hAnsi="Arial" w:cs="Arial"/>
        </w:rPr>
        <w:t xml:space="preserve"> </w:t>
      </w:r>
      <w:r w:rsidRPr="00C762FD">
        <w:rPr>
          <w:rFonts w:ascii="Arial" w:eastAsia="Times New Roman" w:hAnsi="Arial" w:cs="Arial"/>
          <w:b/>
        </w:rPr>
        <w:t>There are several exceptions to this rule</w:t>
      </w:r>
      <w:r w:rsidRPr="00C762FD">
        <w:rPr>
          <w:rFonts w:ascii="Arial" w:eastAsia="Times New Roman" w:hAnsi="Arial" w:cs="Arial"/>
        </w:rPr>
        <w:t xml:space="preserve">, which are discussed in </w:t>
      </w:r>
      <w:proofErr w:type="gramStart"/>
      <w:r w:rsidRPr="00C762FD">
        <w:rPr>
          <w:rFonts w:ascii="Arial" w:eastAsia="Times New Roman" w:hAnsi="Arial" w:cs="Arial"/>
          <w:i/>
        </w:rPr>
        <w:t>Griffiths</w:t>
      </w:r>
      <w:proofErr w:type="gramEnd"/>
      <w:r w:rsidRPr="00C762FD">
        <w:rPr>
          <w:rFonts w:ascii="Arial" w:eastAsia="Times New Roman" w:hAnsi="Arial" w:cs="Arial"/>
          <w:i/>
        </w:rPr>
        <w:t xml:space="preserve"> v Secretary of State for Social Services [1974] QB 468.</w:t>
      </w:r>
      <w:r w:rsidRPr="00C762FD">
        <w:rPr>
          <w:rFonts w:ascii="Arial" w:eastAsia="Times New Roman" w:hAnsi="Arial" w:cs="Arial"/>
        </w:rPr>
        <w:t xml:space="preserve"> The exceptions are: (1) Where the appointment is accompanied by the sale of the company's business; (2) Where the receiver enters into a new employment contract which is inconsistent with the employee's old contract; and (3) Where the continuation of the employment contract is inconsistent with the role of the receiver. A contract with a chief executive officer might be an example of such an inconsistency. </w:t>
      </w:r>
    </w:p>
    <w:p w:rsidR="00C762FD" w:rsidRPr="00C762FD" w:rsidRDefault="00C762FD" w:rsidP="000344D5">
      <w:pPr>
        <w:spacing w:line="240" w:lineRule="auto"/>
        <w:rPr>
          <w:rFonts w:ascii="Arial" w:eastAsia="Times New Roman" w:hAnsi="Arial" w:cs="Arial"/>
        </w:rPr>
      </w:pPr>
    </w:p>
    <w:p w:rsidR="00C762FD" w:rsidRPr="00C762FD" w:rsidRDefault="00C762FD" w:rsidP="000344D5">
      <w:pPr>
        <w:spacing w:line="240" w:lineRule="auto"/>
        <w:rPr>
          <w:rFonts w:ascii="Arial" w:eastAsia="Times New Roman" w:hAnsi="Arial" w:cs="Arial"/>
          <w:i/>
        </w:rPr>
      </w:pPr>
      <w:r w:rsidRPr="00C762FD">
        <w:rPr>
          <w:rFonts w:ascii="Arial" w:eastAsia="Times New Roman" w:hAnsi="Arial" w:cs="Arial"/>
        </w:rPr>
        <w:t xml:space="preserve">7 There is a similar dichotomy in the case of a winding up. </w:t>
      </w:r>
      <w:r w:rsidRPr="00C762FD">
        <w:rPr>
          <w:rFonts w:ascii="Arial" w:eastAsia="Times New Roman" w:hAnsi="Arial" w:cs="Arial"/>
          <w:b/>
        </w:rPr>
        <w:t>The publication of a compulsory winding up order amounts to a dismissal of the company's employees</w:t>
      </w:r>
      <w:r w:rsidRPr="00C762FD">
        <w:rPr>
          <w:rFonts w:ascii="Arial" w:eastAsia="Times New Roman" w:hAnsi="Arial" w:cs="Arial"/>
        </w:rPr>
        <w:t xml:space="preserve"> </w:t>
      </w:r>
      <w:r w:rsidRPr="00C762FD">
        <w:rPr>
          <w:rFonts w:ascii="Arial" w:eastAsia="Times New Roman" w:hAnsi="Arial" w:cs="Arial"/>
          <w:i/>
        </w:rPr>
        <w:t xml:space="preserve">(Re General Rolling Stock Co (Ltd); Chapman's case (1866) LR 1 </w:t>
      </w:r>
      <w:proofErr w:type="spellStart"/>
      <w:r w:rsidRPr="00C762FD">
        <w:rPr>
          <w:rFonts w:ascii="Arial" w:eastAsia="Times New Roman" w:hAnsi="Arial" w:cs="Arial"/>
          <w:i/>
        </w:rPr>
        <w:t>Eq</w:t>
      </w:r>
      <w:proofErr w:type="spellEnd"/>
      <w:r w:rsidRPr="00C762FD">
        <w:rPr>
          <w:rFonts w:ascii="Arial" w:eastAsia="Times New Roman" w:hAnsi="Arial" w:cs="Arial"/>
          <w:i/>
        </w:rPr>
        <w:t xml:space="preserve"> 346; In re Oriental Bank Corporation; </w:t>
      </w:r>
      <w:proofErr w:type="spellStart"/>
      <w:r w:rsidRPr="00C762FD">
        <w:rPr>
          <w:rFonts w:ascii="Arial" w:eastAsia="Times New Roman" w:hAnsi="Arial" w:cs="Arial"/>
          <w:i/>
        </w:rPr>
        <w:t>MacDowall's</w:t>
      </w:r>
      <w:proofErr w:type="spellEnd"/>
      <w:r w:rsidRPr="00C762FD">
        <w:rPr>
          <w:rFonts w:ascii="Arial" w:eastAsia="Times New Roman" w:hAnsi="Arial" w:cs="Arial"/>
          <w:i/>
        </w:rPr>
        <w:t xml:space="preserve"> case (1886) 32 </w:t>
      </w:r>
      <w:proofErr w:type="spellStart"/>
      <w:r w:rsidRPr="00C762FD">
        <w:rPr>
          <w:rFonts w:ascii="Arial" w:eastAsia="Times New Roman" w:hAnsi="Arial" w:cs="Arial"/>
          <w:i/>
        </w:rPr>
        <w:t>ChD</w:t>
      </w:r>
      <w:proofErr w:type="spellEnd"/>
      <w:r w:rsidRPr="00C762FD">
        <w:rPr>
          <w:rFonts w:ascii="Arial" w:eastAsia="Times New Roman" w:hAnsi="Arial" w:cs="Arial"/>
          <w:i/>
        </w:rPr>
        <w:t xml:space="preserve"> 366),</w:t>
      </w:r>
      <w:r w:rsidRPr="00C762FD">
        <w:rPr>
          <w:rFonts w:ascii="Arial" w:eastAsia="Times New Roman" w:hAnsi="Arial" w:cs="Arial"/>
        </w:rPr>
        <w:t xml:space="preserve"> though the contract of employment still remains on foot. The situation is probably different in a voluntary winding up. I say "probably different" because the position is not settled and, in any event, there is no justification for any difference. Be that as it may, the preponderance of authority favours the view that a voluntary winding up does not disturb a contract with an employee: </w:t>
      </w:r>
      <w:r w:rsidRPr="00C762FD">
        <w:rPr>
          <w:rFonts w:ascii="Arial" w:eastAsia="Times New Roman" w:hAnsi="Arial" w:cs="Arial"/>
          <w:i/>
        </w:rPr>
        <w:t xml:space="preserve">Midland Counties District Bank Ltd v </w:t>
      </w:r>
      <w:proofErr w:type="gramStart"/>
      <w:r w:rsidRPr="00C762FD">
        <w:rPr>
          <w:rFonts w:ascii="Arial" w:eastAsia="Times New Roman" w:hAnsi="Arial" w:cs="Arial"/>
          <w:i/>
        </w:rPr>
        <w:t>Attwood  [</w:t>
      </w:r>
      <w:proofErr w:type="gramEnd"/>
      <w:r w:rsidRPr="00C762FD">
        <w:rPr>
          <w:rFonts w:ascii="Arial" w:eastAsia="Times New Roman" w:hAnsi="Arial" w:cs="Arial"/>
          <w:i/>
        </w:rPr>
        <w:t xml:space="preserve">1905] 1 </w:t>
      </w:r>
      <w:proofErr w:type="spellStart"/>
      <w:r w:rsidRPr="00C762FD">
        <w:rPr>
          <w:rFonts w:ascii="Arial" w:eastAsia="Times New Roman" w:hAnsi="Arial" w:cs="Arial"/>
          <w:i/>
        </w:rPr>
        <w:t>ChD</w:t>
      </w:r>
      <w:proofErr w:type="spellEnd"/>
      <w:r w:rsidRPr="00C762FD">
        <w:rPr>
          <w:rFonts w:ascii="Arial" w:eastAsia="Times New Roman" w:hAnsi="Arial" w:cs="Arial"/>
          <w:i/>
        </w:rPr>
        <w:t xml:space="preserve"> 357; Re Matthew Brothers (In </w:t>
      </w:r>
      <w:proofErr w:type="spellStart"/>
      <w:r w:rsidRPr="00C762FD">
        <w:rPr>
          <w:rFonts w:ascii="Arial" w:eastAsia="Times New Roman" w:hAnsi="Arial" w:cs="Arial"/>
          <w:i/>
        </w:rPr>
        <w:t>Liq</w:t>
      </w:r>
      <w:proofErr w:type="spellEnd"/>
      <w:r w:rsidRPr="00C762FD">
        <w:rPr>
          <w:rFonts w:ascii="Arial" w:eastAsia="Times New Roman" w:hAnsi="Arial" w:cs="Arial"/>
          <w:i/>
        </w:rPr>
        <w:t xml:space="preserve">) [1962] </w:t>
      </w:r>
      <w:proofErr w:type="spellStart"/>
      <w:r w:rsidRPr="00C762FD">
        <w:rPr>
          <w:rFonts w:ascii="Arial" w:eastAsia="Times New Roman" w:hAnsi="Arial" w:cs="Arial"/>
          <w:i/>
        </w:rPr>
        <w:t>VicRp</w:t>
      </w:r>
      <w:proofErr w:type="spellEnd"/>
      <w:r w:rsidRPr="00C762FD">
        <w:rPr>
          <w:rFonts w:ascii="Arial" w:eastAsia="Times New Roman" w:hAnsi="Arial" w:cs="Arial"/>
          <w:i/>
        </w:rPr>
        <w:t xml:space="preserve"> 39; [1962] VR 262.</w:t>
      </w:r>
    </w:p>
    <w:p w:rsidR="00C762FD" w:rsidRPr="00C762FD" w:rsidRDefault="00C762FD" w:rsidP="000344D5">
      <w:pPr>
        <w:spacing w:line="240" w:lineRule="auto"/>
        <w:rPr>
          <w:rFonts w:ascii="Arial" w:eastAsia="Times New Roman" w:hAnsi="Arial" w:cs="Arial"/>
          <w:i/>
        </w:rPr>
      </w:pPr>
      <w:r w:rsidRPr="00C762FD">
        <w:rPr>
          <w:rFonts w:ascii="Arial" w:eastAsia="Times New Roman" w:hAnsi="Arial" w:cs="Arial"/>
          <w:i/>
        </w:rPr>
        <w:t xml:space="preserve">McEvoy </w:t>
      </w:r>
      <w:proofErr w:type="gramStart"/>
      <w:r w:rsidRPr="00C762FD">
        <w:rPr>
          <w:rFonts w:ascii="Arial" w:eastAsia="Times New Roman" w:hAnsi="Arial" w:cs="Arial"/>
          <w:i/>
        </w:rPr>
        <w:t xml:space="preserve">v  </w:t>
      </w:r>
      <w:proofErr w:type="spellStart"/>
      <w:r w:rsidRPr="00C762FD">
        <w:rPr>
          <w:rFonts w:ascii="Arial" w:eastAsia="Times New Roman" w:hAnsi="Arial" w:cs="Arial"/>
          <w:i/>
        </w:rPr>
        <w:t>Incat</w:t>
      </w:r>
      <w:proofErr w:type="spellEnd"/>
      <w:proofErr w:type="gramEnd"/>
      <w:r w:rsidRPr="00C762FD">
        <w:rPr>
          <w:rFonts w:ascii="Arial" w:eastAsia="Times New Roman" w:hAnsi="Arial" w:cs="Arial"/>
          <w:i/>
        </w:rPr>
        <w:t xml:space="preserve"> Tasmania  Pty Ltd [2003] FCA 810 (1 August 2003)</w:t>
      </w:r>
    </w:p>
    <w:p w:rsidR="00C762FD" w:rsidRPr="00C762FD" w:rsidRDefault="00C762FD" w:rsidP="000344D5">
      <w:pPr>
        <w:spacing w:line="240" w:lineRule="auto"/>
        <w:rPr>
          <w:rFonts w:ascii="Arial" w:eastAsia="Times New Roman" w:hAnsi="Arial" w:cs="Arial"/>
        </w:rPr>
      </w:pPr>
    </w:p>
    <w:p w:rsidR="00C762FD" w:rsidRPr="00C762FD" w:rsidRDefault="00C762FD" w:rsidP="000344D5">
      <w:pPr>
        <w:spacing w:line="240" w:lineRule="auto"/>
        <w:rPr>
          <w:rFonts w:ascii="Arial" w:eastAsia="Times New Roman" w:hAnsi="Arial" w:cs="Arial"/>
        </w:rPr>
      </w:pPr>
    </w:p>
    <w:p w:rsidR="00C762FD" w:rsidRPr="00C762FD" w:rsidRDefault="00C762FD" w:rsidP="000344D5">
      <w:pPr>
        <w:spacing w:line="240" w:lineRule="auto"/>
        <w:rPr>
          <w:rFonts w:ascii="Arial" w:eastAsia="Times New Roman" w:hAnsi="Arial" w:cs="Arial"/>
        </w:rPr>
      </w:pPr>
      <w:r w:rsidRPr="00C762FD">
        <w:rPr>
          <w:rFonts w:ascii="Arial" w:eastAsia="Times New Roman" w:hAnsi="Arial" w:cs="Arial"/>
          <w:b/>
        </w:rPr>
        <w:t xml:space="preserve">The effect of the resolution to wind up in circumstances where the company was no longer solvent was apt to amount to notice of termination of Mr </w:t>
      </w:r>
      <w:proofErr w:type="spellStart"/>
      <w:r w:rsidRPr="00C762FD">
        <w:rPr>
          <w:rFonts w:ascii="Arial" w:eastAsia="Times New Roman" w:hAnsi="Arial" w:cs="Arial"/>
          <w:b/>
        </w:rPr>
        <w:t>Larcombe’s</w:t>
      </w:r>
      <w:proofErr w:type="spellEnd"/>
      <w:r w:rsidRPr="00C762FD">
        <w:rPr>
          <w:rFonts w:ascii="Arial" w:eastAsia="Times New Roman" w:hAnsi="Arial" w:cs="Arial"/>
          <w:b/>
        </w:rPr>
        <w:t xml:space="preserve"> employment from the date of the resolution to wind up</w:t>
      </w:r>
      <w:r w:rsidRPr="00C762FD">
        <w:rPr>
          <w:rFonts w:ascii="Arial" w:eastAsia="Times New Roman" w:hAnsi="Arial" w:cs="Arial"/>
        </w:rPr>
        <w:t>: ss.493 and 513B of the Corporations Act 2001.</w:t>
      </w:r>
    </w:p>
    <w:p w:rsidR="00C762FD" w:rsidRPr="00C762FD" w:rsidRDefault="00C762FD" w:rsidP="000344D5">
      <w:pPr>
        <w:spacing w:line="240" w:lineRule="auto"/>
        <w:rPr>
          <w:rFonts w:ascii="Arial" w:eastAsia="Times New Roman" w:hAnsi="Arial" w:cs="Arial"/>
          <w:i/>
        </w:rPr>
      </w:pPr>
      <w:proofErr w:type="spellStart"/>
      <w:r w:rsidRPr="00C762FD">
        <w:rPr>
          <w:rFonts w:ascii="Arial" w:eastAsia="Times New Roman" w:hAnsi="Arial" w:cs="Arial"/>
          <w:i/>
        </w:rPr>
        <w:t>Larcombe</w:t>
      </w:r>
      <w:proofErr w:type="spellEnd"/>
      <w:r w:rsidRPr="00C762FD">
        <w:rPr>
          <w:rFonts w:ascii="Arial" w:eastAsia="Times New Roman" w:hAnsi="Arial" w:cs="Arial"/>
          <w:i/>
        </w:rPr>
        <w:t xml:space="preserve"> v </w:t>
      </w:r>
      <w:proofErr w:type="spellStart"/>
      <w:r w:rsidRPr="00C762FD">
        <w:rPr>
          <w:rFonts w:ascii="Arial" w:eastAsia="Times New Roman" w:hAnsi="Arial" w:cs="Arial"/>
          <w:i/>
        </w:rPr>
        <w:t>Mackereth</w:t>
      </w:r>
      <w:proofErr w:type="spellEnd"/>
      <w:r w:rsidRPr="00C762FD">
        <w:rPr>
          <w:rFonts w:ascii="Arial" w:eastAsia="Times New Roman" w:hAnsi="Arial" w:cs="Arial"/>
          <w:i/>
        </w:rPr>
        <w:t xml:space="preserve"> [2015] FCCA 2646 (18 August 2015)</w:t>
      </w:r>
    </w:p>
    <w:p w:rsidR="00C762FD" w:rsidRPr="00C762FD" w:rsidRDefault="00C762FD" w:rsidP="000344D5">
      <w:pPr>
        <w:spacing w:line="240" w:lineRule="auto"/>
        <w:rPr>
          <w:rFonts w:ascii="Arial" w:eastAsia="Times New Roman" w:hAnsi="Arial" w:cs="Arial"/>
          <w:i/>
        </w:rPr>
      </w:pPr>
    </w:p>
    <w:p w:rsidR="00C762FD" w:rsidRPr="00C762FD" w:rsidRDefault="00C762FD" w:rsidP="000344D5">
      <w:pPr>
        <w:spacing w:line="240" w:lineRule="auto"/>
        <w:rPr>
          <w:rFonts w:ascii="Arial" w:eastAsia="Times New Roman" w:hAnsi="Arial" w:cs="Arial"/>
          <w:i/>
        </w:rPr>
      </w:pPr>
    </w:p>
    <w:p w:rsidR="00C762FD" w:rsidRPr="00C762FD" w:rsidRDefault="00C762FD" w:rsidP="000344D5">
      <w:pPr>
        <w:spacing w:line="240" w:lineRule="auto"/>
        <w:rPr>
          <w:rFonts w:ascii="Arial" w:eastAsia="Times New Roman" w:hAnsi="Arial" w:cs="Arial"/>
          <w:b/>
        </w:rPr>
      </w:pPr>
      <w:r w:rsidRPr="00C762FD">
        <w:rPr>
          <w:rFonts w:ascii="Arial" w:eastAsia="Times New Roman" w:hAnsi="Arial" w:cs="Arial"/>
          <w:b/>
        </w:rPr>
        <w:t xml:space="preserve">2. The defendants admitted the plaintiff’s claim for “unpaid salary” in the sum of $995,973.10, but concluded that the plaintiff was a “Class C Creditor”. Class B Creditors’ claims will be paid in full while Class C Creditors will be paid </w:t>
      </w:r>
      <w:proofErr w:type="spellStart"/>
      <w:r w:rsidRPr="00C762FD">
        <w:rPr>
          <w:rFonts w:ascii="Arial" w:eastAsia="Times New Roman" w:hAnsi="Arial" w:cs="Arial"/>
          <w:b/>
        </w:rPr>
        <w:t>pari</w:t>
      </w:r>
      <w:proofErr w:type="spellEnd"/>
      <w:r w:rsidRPr="00C762FD">
        <w:rPr>
          <w:rFonts w:ascii="Arial" w:eastAsia="Times New Roman" w:hAnsi="Arial" w:cs="Arial"/>
          <w:b/>
        </w:rPr>
        <w:t xml:space="preserve"> </w:t>
      </w:r>
      <w:proofErr w:type="spellStart"/>
      <w:r w:rsidRPr="00C762FD">
        <w:rPr>
          <w:rFonts w:ascii="Arial" w:eastAsia="Times New Roman" w:hAnsi="Arial" w:cs="Arial"/>
          <w:b/>
        </w:rPr>
        <w:t>passu</w:t>
      </w:r>
      <w:proofErr w:type="spellEnd"/>
      <w:r w:rsidRPr="00C762FD">
        <w:rPr>
          <w:rFonts w:ascii="Arial" w:eastAsia="Times New Roman" w:hAnsi="Arial" w:cs="Arial"/>
          <w:b/>
        </w:rPr>
        <w:t xml:space="preserve"> in accordance with the level of their admitted claims.</w:t>
      </w:r>
    </w:p>
    <w:p w:rsidR="00C762FD" w:rsidRPr="00C762FD" w:rsidRDefault="00C762FD" w:rsidP="000344D5">
      <w:pPr>
        <w:spacing w:line="240" w:lineRule="auto"/>
        <w:rPr>
          <w:rFonts w:ascii="Arial" w:eastAsia="Times New Roman" w:hAnsi="Arial" w:cs="Arial"/>
        </w:rPr>
      </w:pPr>
      <w:r w:rsidRPr="00C762FD">
        <w:rPr>
          <w:rFonts w:ascii="Arial" w:eastAsia="Times New Roman" w:hAnsi="Arial" w:cs="Arial"/>
        </w:rPr>
        <w:t xml:space="preserve">40.  … the defendant’s reliance on the decision of Young J in Irons v Merchant Capital Ltd  (1994) 116 FLR 204 (“Irons”), as long-standing authority that </w:t>
      </w:r>
      <w:r w:rsidRPr="00C762FD">
        <w:rPr>
          <w:rFonts w:ascii="Arial" w:eastAsia="Times New Roman" w:hAnsi="Arial" w:cs="Arial"/>
          <w:b/>
        </w:rPr>
        <w:t>damages for wrongful dismissal are not “amounts payable...by virtue of an industrial agreement”</w:t>
      </w:r>
      <w:r w:rsidRPr="00C762FD">
        <w:rPr>
          <w:rFonts w:ascii="Arial" w:eastAsia="Times New Roman" w:hAnsi="Arial" w:cs="Arial"/>
        </w:rPr>
        <w:t xml:space="preserve">, </w:t>
      </w:r>
    </w:p>
    <w:p w:rsidR="00C762FD" w:rsidRPr="00C762FD" w:rsidRDefault="00C762FD" w:rsidP="000344D5">
      <w:pPr>
        <w:spacing w:line="240" w:lineRule="auto"/>
        <w:rPr>
          <w:rFonts w:ascii="Arial" w:eastAsia="Times New Roman" w:hAnsi="Arial" w:cs="Arial"/>
        </w:rPr>
      </w:pPr>
      <w:r w:rsidRPr="00C762FD">
        <w:rPr>
          <w:rFonts w:ascii="Arial" w:eastAsia="Times New Roman" w:hAnsi="Arial" w:cs="Arial"/>
        </w:rPr>
        <w:t>46.</w:t>
      </w:r>
      <w:r w:rsidRPr="00C762FD">
        <w:rPr>
          <w:rFonts w:ascii="Arial" w:eastAsia="Times New Roman" w:hAnsi="Arial" w:cs="Arial"/>
        </w:rPr>
        <w:tab/>
        <w:t xml:space="preserve">It is not obvious to me that the plaintiff’s claim is an “amount payable by the company”. I would prefer to characterise it as an amount which the liquidator has estimated </w:t>
      </w:r>
      <w:r w:rsidRPr="00C762FD">
        <w:rPr>
          <w:rFonts w:ascii="Arial" w:eastAsia="Times New Roman" w:hAnsi="Arial" w:cs="Arial"/>
        </w:rPr>
        <w:lastRenderedPageBreak/>
        <w:t xml:space="preserve">to be the value of the plaintiff’s </w:t>
      </w:r>
      <w:proofErr w:type="spellStart"/>
      <w:r w:rsidRPr="00C762FD">
        <w:rPr>
          <w:rFonts w:ascii="Arial" w:eastAsia="Times New Roman" w:hAnsi="Arial" w:cs="Arial"/>
        </w:rPr>
        <w:t>unadjudicated</w:t>
      </w:r>
      <w:proofErr w:type="spellEnd"/>
      <w:r w:rsidRPr="00C762FD">
        <w:rPr>
          <w:rFonts w:ascii="Arial" w:eastAsia="Times New Roman" w:hAnsi="Arial" w:cs="Arial"/>
        </w:rPr>
        <w:t xml:space="preserve"> claim for unliquidated damages for the purpose of distributing the deed fund.</w:t>
      </w:r>
    </w:p>
    <w:p w:rsidR="00C762FD" w:rsidRPr="00C762FD" w:rsidRDefault="00C762FD" w:rsidP="000344D5">
      <w:pPr>
        <w:spacing w:line="240" w:lineRule="auto"/>
        <w:rPr>
          <w:rFonts w:ascii="Arial" w:eastAsia="Times New Roman" w:hAnsi="Arial" w:cs="Arial"/>
          <w:b/>
        </w:rPr>
      </w:pPr>
      <w:r w:rsidRPr="00C762FD">
        <w:rPr>
          <w:rFonts w:ascii="Arial" w:eastAsia="Times New Roman" w:hAnsi="Arial" w:cs="Arial"/>
        </w:rPr>
        <w:t>47.</w:t>
      </w:r>
      <w:r w:rsidRPr="00C762FD">
        <w:rPr>
          <w:rFonts w:ascii="Arial" w:eastAsia="Times New Roman" w:hAnsi="Arial" w:cs="Arial"/>
        </w:rPr>
        <w:tab/>
        <w:t xml:space="preserve">In my view, although there is an obvious connection between the employment contract and the plaintiff’s claim, </w:t>
      </w:r>
      <w:r w:rsidRPr="00C762FD">
        <w:rPr>
          <w:rFonts w:ascii="Arial" w:eastAsia="Times New Roman" w:hAnsi="Arial" w:cs="Arial"/>
          <w:b/>
        </w:rPr>
        <w:t>that claim cannot be described as an amount payable “by virtue of” the contract because the plaintiff’s claim arose only upon the termination of the contract</w:t>
      </w:r>
    </w:p>
    <w:p w:rsidR="00C762FD" w:rsidRPr="00C762FD" w:rsidRDefault="00C762FD" w:rsidP="000344D5">
      <w:pPr>
        <w:spacing w:line="240" w:lineRule="auto"/>
        <w:rPr>
          <w:rFonts w:ascii="Arial" w:eastAsia="Times New Roman" w:hAnsi="Arial" w:cs="Arial"/>
          <w:i/>
        </w:rPr>
      </w:pPr>
    </w:p>
    <w:p w:rsidR="00C762FD" w:rsidRPr="00C762FD" w:rsidRDefault="00C762FD" w:rsidP="000344D5">
      <w:pPr>
        <w:spacing w:line="240" w:lineRule="auto"/>
        <w:rPr>
          <w:rFonts w:ascii="Arial" w:eastAsia="Times New Roman" w:hAnsi="Arial" w:cs="Arial"/>
          <w:i/>
        </w:rPr>
      </w:pPr>
      <w:r w:rsidRPr="00C762FD">
        <w:rPr>
          <w:rFonts w:ascii="Arial" w:eastAsia="Times New Roman" w:hAnsi="Arial" w:cs="Arial"/>
          <w:i/>
        </w:rPr>
        <w:t>Schmitt v Carter [2014] FCA 1370 (15 December 2014)</w:t>
      </w:r>
    </w:p>
    <w:p w:rsidR="00D35163" w:rsidRDefault="00D35163" w:rsidP="000344D5">
      <w:pPr>
        <w:spacing w:line="240" w:lineRule="auto"/>
      </w:pPr>
    </w:p>
    <w:sectPr w:rsidR="00D35163" w:rsidSect="000344D5">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43B8" w:rsidRDefault="008943B8" w:rsidP="00124FEF">
      <w:pPr>
        <w:spacing w:after="0" w:line="240" w:lineRule="auto"/>
      </w:pPr>
      <w:r>
        <w:separator/>
      </w:r>
    </w:p>
  </w:endnote>
  <w:endnote w:type="continuationSeparator" w:id="0">
    <w:p w:rsidR="008943B8" w:rsidRDefault="008943B8" w:rsidP="00124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43B8" w:rsidRDefault="008943B8" w:rsidP="00124FEF">
      <w:pPr>
        <w:spacing w:after="0" w:line="240" w:lineRule="auto"/>
      </w:pPr>
      <w:r>
        <w:separator/>
      </w:r>
    </w:p>
  </w:footnote>
  <w:footnote w:type="continuationSeparator" w:id="0">
    <w:p w:rsidR="008943B8" w:rsidRDefault="008943B8" w:rsidP="00124FEF">
      <w:pPr>
        <w:spacing w:after="0" w:line="240" w:lineRule="auto"/>
      </w:pPr>
      <w:r>
        <w:continuationSeparator/>
      </w:r>
    </w:p>
  </w:footnote>
  <w:footnote w:id="1">
    <w:p w:rsidR="00124FEF" w:rsidRPr="000344D5" w:rsidRDefault="00124FEF">
      <w:pPr>
        <w:pStyle w:val="FootnoteText"/>
        <w:rPr>
          <w:sz w:val="16"/>
          <w:szCs w:val="16"/>
        </w:rPr>
      </w:pPr>
      <w:r w:rsidRPr="000344D5">
        <w:rPr>
          <w:rStyle w:val="FootnoteReference"/>
          <w:sz w:val="16"/>
          <w:szCs w:val="16"/>
        </w:rPr>
        <w:footnoteRef/>
      </w:r>
      <w:r w:rsidRPr="000344D5">
        <w:rPr>
          <w:sz w:val="16"/>
          <w:szCs w:val="16"/>
        </w:rPr>
        <w:t xml:space="preserve"> </w:t>
      </w:r>
      <w:r w:rsidRPr="000344D5">
        <w:rPr>
          <w:rFonts w:ascii="Arial" w:hAnsi="Arial" w:cs="Arial"/>
          <w:sz w:val="16"/>
          <w:szCs w:val="16"/>
        </w:rPr>
        <w:t xml:space="preserve">see: </w:t>
      </w:r>
      <w:r w:rsidRPr="000344D5">
        <w:rPr>
          <w:rFonts w:ascii="Arial" w:hAnsi="Arial" w:cs="Arial"/>
          <w:i/>
          <w:sz w:val="16"/>
          <w:szCs w:val="16"/>
        </w:rPr>
        <w:t xml:space="preserve">O’Meara v Stanley Works Pty Ltd </w:t>
      </w:r>
      <w:r w:rsidR="00F707D5">
        <w:rPr>
          <w:rFonts w:ascii="Arial" w:hAnsi="Arial" w:cs="Arial"/>
          <w:sz w:val="16"/>
          <w:szCs w:val="16"/>
        </w:rPr>
        <w:t>(2006) 58 AILR 100 at [23]</w:t>
      </w:r>
    </w:p>
  </w:footnote>
  <w:footnote w:id="2">
    <w:p w:rsidR="00124FEF" w:rsidRPr="000344D5" w:rsidRDefault="00124FEF">
      <w:pPr>
        <w:pStyle w:val="FootnoteText"/>
        <w:rPr>
          <w:sz w:val="16"/>
          <w:szCs w:val="16"/>
        </w:rPr>
      </w:pPr>
      <w:r w:rsidRPr="000344D5">
        <w:rPr>
          <w:rStyle w:val="FootnoteReference"/>
          <w:sz w:val="16"/>
          <w:szCs w:val="16"/>
        </w:rPr>
        <w:footnoteRef/>
      </w:r>
      <w:r w:rsidRPr="000344D5">
        <w:rPr>
          <w:sz w:val="16"/>
          <w:szCs w:val="16"/>
        </w:rPr>
        <w:t xml:space="preserve"> </w:t>
      </w:r>
      <w:r w:rsidRPr="000344D5">
        <w:rPr>
          <w:rFonts w:ascii="Arial" w:hAnsi="Arial" w:cs="Arial"/>
          <w:sz w:val="16"/>
          <w:szCs w:val="16"/>
        </w:rPr>
        <w:t xml:space="preserve">see: </w:t>
      </w:r>
      <w:proofErr w:type="spellStart"/>
      <w:r w:rsidRPr="000344D5">
        <w:rPr>
          <w:rFonts w:ascii="Arial" w:hAnsi="Arial" w:cs="Arial"/>
          <w:i/>
          <w:sz w:val="16"/>
          <w:szCs w:val="16"/>
        </w:rPr>
        <w:t>Mohazab</w:t>
      </w:r>
      <w:proofErr w:type="spellEnd"/>
      <w:r w:rsidRPr="000344D5">
        <w:rPr>
          <w:rFonts w:ascii="Arial" w:hAnsi="Arial" w:cs="Arial"/>
          <w:i/>
          <w:sz w:val="16"/>
          <w:szCs w:val="16"/>
        </w:rPr>
        <w:t xml:space="preserve"> v Dick Smith Electronics Pty Ltd (No 2) </w:t>
      </w:r>
      <w:r w:rsidR="00F707D5">
        <w:rPr>
          <w:rFonts w:ascii="Arial" w:hAnsi="Arial" w:cs="Arial"/>
          <w:sz w:val="16"/>
          <w:szCs w:val="16"/>
        </w:rPr>
        <w:t>(1995) 62 IR 200</w:t>
      </w:r>
    </w:p>
  </w:footnote>
  <w:footnote w:id="3">
    <w:p w:rsidR="00124FEF" w:rsidRPr="000344D5" w:rsidRDefault="00124FEF">
      <w:pPr>
        <w:pStyle w:val="FootnoteText"/>
        <w:rPr>
          <w:sz w:val="16"/>
          <w:szCs w:val="16"/>
        </w:rPr>
      </w:pPr>
      <w:r w:rsidRPr="000344D5">
        <w:rPr>
          <w:rStyle w:val="FootnoteReference"/>
          <w:sz w:val="16"/>
          <w:szCs w:val="16"/>
        </w:rPr>
        <w:footnoteRef/>
      </w:r>
      <w:r w:rsidRPr="000344D5">
        <w:rPr>
          <w:sz w:val="16"/>
          <w:szCs w:val="16"/>
        </w:rPr>
        <w:t xml:space="preserve"> </w:t>
      </w:r>
      <w:r w:rsidRPr="000344D5">
        <w:rPr>
          <w:rFonts w:ascii="Arial" w:hAnsi="Arial" w:cs="Arial"/>
          <w:sz w:val="16"/>
          <w:szCs w:val="16"/>
        </w:rPr>
        <w:t xml:space="preserve">see: </w:t>
      </w:r>
      <w:r w:rsidRPr="000344D5">
        <w:rPr>
          <w:rFonts w:ascii="Arial" w:hAnsi="Arial" w:cs="Arial"/>
          <w:i/>
          <w:sz w:val="16"/>
          <w:szCs w:val="16"/>
        </w:rPr>
        <w:t xml:space="preserve">Australian Hearing v Peary </w:t>
      </w:r>
      <w:r w:rsidR="00F707D5">
        <w:rPr>
          <w:rFonts w:ascii="Arial" w:hAnsi="Arial" w:cs="Arial"/>
          <w:sz w:val="16"/>
          <w:szCs w:val="16"/>
        </w:rPr>
        <w:t>(2009) 185 IR 359 at [30]</w:t>
      </w:r>
    </w:p>
  </w:footnote>
  <w:footnote w:id="4">
    <w:p w:rsidR="00124FEF" w:rsidRDefault="00124FEF">
      <w:pPr>
        <w:pStyle w:val="FootnoteText"/>
      </w:pPr>
      <w:r w:rsidRPr="000344D5">
        <w:rPr>
          <w:rStyle w:val="FootnoteReference"/>
          <w:sz w:val="16"/>
          <w:szCs w:val="16"/>
        </w:rPr>
        <w:footnoteRef/>
      </w:r>
      <w:r w:rsidRPr="000344D5">
        <w:rPr>
          <w:sz w:val="16"/>
          <w:szCs w:val="16"/>
        </w:rPr>
        <w:t xml:space="preserve"> </w:t>
      </w:r>
      <w:r w:rsidRPr="000344D5">
        <w:rPr>
          <w:rFonts w:ascii="Arial" w:hAnsi="Arial" w:cs="Arial"/>
          <w:sz w:val="16"/>
          <w:szCs w:val="16"/>
        </w:rPr>
        <w:t xml:space="preserve">see: </w:t>
      </w:r>
      <w:r w:rsidRPr="000344D5">
        <w:rPr>
          <w:rFonts w:ascii="Arial" w:hAnsi="Arial" w:cs="Arial"/>
          <w:i/>
          <w:sz w:val="16"/>
          <w:szCs w:val="16"/>
        </w:rPr>
        <w:t xml:space="preserve">Charlton v Eastern Australia Airlines Pty Ltd </w:t>
      </w:r>
      <w:r w:rsidR="00F707D5">
        <w:rPr>
          <w:rFonts w:ascii="Arial" w:hAnsi="Arial" w:cs="Arial"/>
          <w:sz w:val="16"/>
          <w:szCs w:val="16"/>
        </w:rPr>
        <w:t>(2006) 154 IR 239 at [34]</w:t>
      </w:r>
    </w:p>
  </w:footnote>
  <w:footnote w:id="5">
    <w:p w:rsidR="00124FEF" w:rsidRPr="000344D5" w:rsidRDefault="00124FEF">
      <w:pPr>
        <w:pStyle w:val="FootnoteText"/>
        <w:rPr>
          <w:sz w:val="16"/>
          <w:szCs w:val="16"/>
        </w:rPr>
      </w:pPr>
      <w:r w:rsidRPr="000344D5">
        <w:rPr>
          <w:rStyle w:val="FootnoteReference"/>
          <w:sz w:val="16"/>
          <w:szCs w:val="16"/>
        </w:rPr>
        <w:footnoteRef/>
      </w:r>
      <w:r w:rsidRPr="000344D5">
        <w:rPr>
          <w:sz w:val="16"/>
          <w:szCs w:val="16"/>
        </w:rPr>
        <w:t xml:space="preserve"> </w:t>
      </w:r>
      <w:r w:rsidRPr="000344D5">
        <w:rPr>
          <w:rFonts w:ascii="Arial" w:hAnsi="Arial" w:cs="Arial"/>
          <w:sz w:val="16"/>
          <w:szCs w:val="16"/>
        </w:rPr>
        <w:t xml:space="preserve">see: </w:t>
      </w:r>
      <w:proofErr w:type="spellStart"/>
      <w:r w:rsidRPr="000344D5">
        <w:rPr>
          <w:rFonts w:ascii="Arial" w:hAnsi="Arial" w:cs="Arial"/>
          <w:i/>
          <w:sz w:val="16"/>
          <w:szCs w:val="16"/>
        </w:rPr>
        <w:t>Selvachandran</w:t>
      </w:r>
      <w:proofErr w:type="spellEnd"/>
      <w:r w:rsidRPr="000344D5">
        <w:rPr>
          <w:rFonts w:ascii="Arial" w:hAnsi="Arial" w:cs="Arial"/>
          <w:i/>
          <w:sz w:val="16"/>
          <w:szCs w:val="16"/>
        </w:rPr>
        <w:t xml:space="preserve"> v </w:t>
      </w:r>
      <w:proofErr w:type="spellStart"/>
      <w:r w:rsidRPr="000344D5">
        <w:rPr>
          <w:rFonts w:ascii="Arial" w:hAnsi="Arial" w:cs="Arial"/>
          <w:i/>
          <w:sz w:val="16"/>
          <w:szCs w:val="16"/>
        </w:rPr>
        <w:t>Peteron</w:t>
      </w:r>
      <w:proofErr w:type="spellEnd"/>
      <w:r w:rsidRPr="000344D5">
        <w:rPr>
          <w:rFonts w:ascii="Arial" w:hAnsi="Arial" w:cs="Arial"/>
          <w:i/>
          <w:sz w:val="16"/>
          <w:szCs w:val="16"/>
        </w:rPr>
        <w:t xml:space="preserve"> Plastics Pty Ltd </w:t>
      </w:r>
      <w:r w:rsidR="00774BF9">
        <w:rPr>
          <w:rFonts w:ascii="Arial" w:hAnsi="Arial" w:cs="Arial"/>
          <w:sz w:val="16"/>
          <w:szCs w:val="16"/>
        </w:rPr>
        <w:t>(1995) 62 IR 371</w:t>
      </w:r>
    </w:p>
  </w:footnote>
  <w:footnote w:id="6">
    <w:p w:rsidR="00124FEF" w:rsidRPr="000344D5" w:rsidRDefault="00124FEF">
      <w:pPr>
        <w:pStyle w:val="FootnoteText"/>
        <w:rPr>
          <w:sz w:val="16"/>
          <w:szCs w:val="16"/>
        </w:rPr>
      </w:pPr>
      <w:r w:rsidRPr="000344D5">
        <w:rPr>
          <w:rStyle w:val="FootnoteReference"/>
          <w:sz w:val="16"/>
          <w:szCs w:val="16"/>
        </w:rPr>
        <w:footnoteRef/>
      </w:r>
      <w:r w:rsidRPr="000344D5">
        <w:rPr>
          <w:sz w:val="16"/>
          <w:szCs w:val="16"/>
        </w:rPr>
        <w:t xml:space="preserve"> </w:t>
      </w:r>
      <w:r w:rsidRPr="000344D5">
        <w:rPr>
          <w:rFonts w:ascii="Arial" w:hAnsi="Arial" w:cs="Arial"/>
          <w:sz w:val="16"/>
          <w:szCs w:val="16"/>
        </w:rPr>
        <w:t xml:space="preserve">see: </w:t>
      </w:r>
      <w:r w:rsidRPr="000344D5">
        <w:rPr>
          <w:rFonts w:ascii="Arial" w:hAnsi="Arial" w:cs="Arial"/>
          <w:i/>
          <w:sz w:val="16"/>
          <w:szCs w:val="16"/>
        </w:rPr>
        <w:t xml:space="preserve">Crozier v Palazzo Corporation Pty Ltd </w:t>
      </w:r>
      <w:r w:rsidR="00774BF9">
        <w:rPr>
          <w:rFonts w:ascii="Arial" w:hAnsi="Arial" w:cs="Arial"/>
          <w:sz w:val="16"/>
          <w:szCs w:val="16"/>
        </w:rPr>
        <w:t>(2000) 98 IR 137</w:t>
      </w:r>
    </w:p>
  </w:footnote>
  <w:footnote w:id="7">
    <w:p w:rsidR="00124FEF" w:rsidRDefault="00124FEF">
      <w:pPr>
        <w:pStyle w:val="FootnoteText"/>
      </w:pPr>
      <w:r w:rsidRPr="000344D5">
        <w:rPr>
          <w:rStyle w:val="FootnoteReference"/>
          <w:sz w:val="16"/>
          <w:szCs w:val="16"/>
        </w:rPr>
        <w:footnoteRef/>
      </w:r>
      <w:r w:rsidRPr="000344D5">
        <w:rPr>
          <w:sz w:val="16"/>
          <w:szCs w:val="16"/>
        </w:rPr>
        <w:t xml:space="preserve"> </w:t>
      </w:r>
      <w:r w:rsidRPr="000344D5">
        <w:rPr>
          <w:rFonts w:ascii="Arial" w:hAnsi="Arial" w:cs="Arial"/>
          <w:sz w:val="16"/>
          <w:szCs w:val="16"/>
        </w:rPr>
        <w:t xml:space="preserve">see: </w:t>
      </w:r>
      <w:r w:rsidRPr="000344D5">
        <w:rPr>
          <w:rFonts w:ascii="Arial" w:hAnsi="Arial" w:cs="Arial"/>
          <w:i/>
          <w:sz w:val="16"/>
          <w:szCs w:val="16"/>
        </w:rPr>
        <w:t xml:space="preserve">Edwards v </w:t>
      </w:r>
      <w:proofErr w:type="spellStart"/>
      <w:r w:rsidRPr="000344D5">
        <w:rPr>
          <w:rFonts w:ascii="Arial" w:hAnsi="Arial" w:cs="Arial"/>
          <w:i/>
          <w:sz w:val="16"/>
          <w:szCs w:val="16"/>
        </w:rPr>
        <w:t>Giudice</w:t>
      </w:r>
      <w:proofErr w:type="spellEnd"/>
      <w:r w:rsidRPr="000344D5">
        <w:rPr>
          <w:rFonts w:ascii="Arial" w:hAnsi="Arial" w:cs="Arial"/>
          <w:i/>
          <w:sz w:val="16"/>
          <w:szCs w:val="16"/>
        </w:rPr>
        <w:t xml:space="preserve"> </w:t>
      </w:r>
      <w:r w:rsidR="00774BF9">
        <w:rPr>
          <w:rFonts w:ascii="Arial" w:hAnsi="Arial" w:cs="Arial"/>
          <w:sz w:val="16"/>
          <w:szCs w:val="16"/>
        </w:rPr>
        <w:t>(1999) 94 FCR 561</w:t>
      </w:r>
    </w:p>
  </w:footnote>
  <w:footnote w:id="8">
    <w:p w:rsidR="00124FEF" w:rsidRPr="000344D5" w:rsidRDefault="00124FEF">
      <w:pPr>
        <w:pStyle w:val="FootnoteText"/>
        <w:rPr>
          <w:sz w:val="16"/>
          <w:szCs w:val="16"/>
        </w:rPr>
      </w:pPr>
      <w:r w:rsidRPr="000344D5">
        <w:rPr>
          <w:rStyle w:val="FootnoteReference"/>
          <w:sz w:val="16"/>
          <w:szCs w:val="16"/>
        </w:rPr>
        <w:footnoteRef/>
      </w:r>
      <w:r w:rsidRPr="000344D5">
        <w:rPr>
          <w:sz w:val="16"/>
          <w:szCs w:val="16"/>
        </w:rPr>
        <w:t xml:space="preserve"> </w:t>
      </w:r>
      <w:r w:rsidRPr="000344D5">
        <w:rPr>
          <w:rFonts w:ascii="Arial" w:hAnsi="Arial" w:cs="Arial"/>
          <w:sz w:val="16"/>
          <w:szCs w:val="16"/>
        </w:rPr>
        <w:t xml:space="preserve">see: </w:t>
      </w:r>
      <w:r w:rsidRPr="000344D5">
        <w:rPr>
          <w:rFonts w:ascii="Arial" w:hAnsi="Arial" w:cs="Arial"/>
          <w:i/>
          <w:sz w:val="16"/>
          <w:szCs w:val="16"/>
        </w:rPr>
        <w:t>Fair Work Regulation 1.07</w:t>
      </w:r>
    </w:p>
  </w:footnote>
  <w:footnote w:id="9">
    <w:p w:rsidR="00124FEF" w:rsidRPr="000344D5" w:rsidRDefault="00124FEF">
      <w:pPr>
        <w:pStyle w:val="FootnoteText"/>
        <w:rPr>
          <w:sz w:val="16"/>
          <w:szCs w:val="16"/>
        </w:rPr>
      </w:pPr>
      <w:r w:rsidRPr="000344D5">
        <w:rPr>
          <w:rStyle w:val="FootnoteReference"/>
          <w:sz w:val="16"/>
          <w:szCs w:val="16"/>
        </w:rPr>
        <w:footnoteRef/>
      </w:r>
      <w:r w:rsidRPr="000344D5">
        <w:rPr>
          <w:sz w:val="16"/>
          <w:szCs w:val="16"/>
        </w:rPr>
        <w:t xml:space="preserve"> </w:t>
      </w:r>
      <w:r w:rsidRPr="000344D5">
        <w:rPr>
          <w:rFonts w:ascii="Arial" w:hAnsi="Arial" w:cs="Arial"/>
          <w:sz w:val="16"/>
          <w:szCs w:val="16"/>
        </w:rPr>
        <w:t xml:space="preserve">see: </w:t>
      </w:r>
      <w:r w:rsidRPr="000344D5">
        <w:rPr>
          <w:rFonts w:ascii="Arial" w:hAnsi="Arial" w:cs="Arial"/>
          <w:i/>
          <w:sz w:val="16"/>
          <w:szCs w:val="16"/>
        </w:rPr>
        <w:t xml:space="preserve">Villani v Holcim (Australia) Pty Ltd </w:t>
      </w:r>
      <w:r w:rsidRPr="000344D5">
        <w:rPr>
          <w:rFonts w:ascii="Arial" w:hAnsi="Arial" w:cs="Arial"/>
          <w:sz w:val="16"/>
          <w:szCs w:val="16"/>
        </w:rPr>
        <w:t xml:space="preserve">[2011] FWA </w:t>
      </w:r>
      <w:r w:rsidR="00774BF9">
        <w:rPr>
          <w:rFonts w:ascii="Arial" w:hAnsi="Arial" w:cs="Arial"/>
          <w:sz w:val="16"/>
          <w:szCs w:val="16"/>
        </w:rPr>
        <w:t>141</w:t>
      </w:r>
    </w:p>
  </w:footnote>
  <w:footnote w:id="10">
    <w:p w:rsidR="00124FEF" w:rsidRPr="000344D5" w:rsidRDefault="00124FEF">
      <w:pPr>
        <w:pStyle w:val="FootnoteText"/>
        <w:rPr>
          <w:sz w:val="16"/>
          <w:szCs w:val="16"/>
        </w:rPr>
      </w:pPr>
      <w:r w:rsidRPr="000344D5">
        <w:rPr>
          <w:rStyle w:val="FootnoteReference"/>
          <w:sz w:val="16"/>
          <w:szCs w:val="16"/>
        </w:rPr>
        <w:footnoteRef/>
      </w:r>
      <w:r w:rsidRPr="000344D5">
        <w:rPr>
          <w:sz w:val="16"/>
          <w:szCs w:val="16"/>
        </w:rPr>
        <w:t xml:space="preserve"> </w:t>
      </w:r>
      <w:r w:rsidRPr="000344D5">
        <w:rPr>
          <w:rFonts w:ascii="Arial" w:hAnsi="Arial" w:cs="Arial"/>
          <w:sz w:val="16"/>
          <w:szCs w:val="16"/>
        </w:rPr>
        <w:t xml:space="preserve">see: </w:t>
      </w:r>
      <w:r w:rsidRPr="000344D5">
        <w:rPr>
          <w:rFonts w:ascii="Arial" w:hAnsi="Arial" w:cs="Arial"/>
          <w:i/>
          <w:sz w:val="16"/>
          <w:szCs w:val="16"/>
        </w:rPr>
        <w:t xml:space="preserve">Gooch v </w:t>
      </w:r>
      <w:proofErr w:type="spellStart"/>
      <w:r w:rsidRPr="000344D5">
        <w:rPr>
          <w:rFonts w:ascii="Arial" w:hAnsi="Arial" w:cs="Arial"/>
          <w:i/>
          <w:sz w:val="16"/>
          <w:szCs w:val="16"/>
        </w:rPr>
        <w:t>Proware</w:t>
      </w:r>
      <w:proofErr w:type="spellEnd"/>
      <w:r w:rsidRPr="000344D5">
        <w:rPr>
          <w:rFonts w:ascii="Arial" w:hAnsi="Arial" w:cs="Arial"/>
          <w:i/>
          <w:sz w:val="16"/>
          <w:szCs w:val="16"/>
        </w:rPr>
        <w:t xml:space="preserve"> Pty Ltd t/a TSM (The Service Manager) </w:t>
      </w:r>
      <w:r w:rsidR="00774BF9">
        <w:rPr>
          <w:rFonts w:ascii="Arial" w:hAnsi="Arial" w:cs="Arial"/>
          <w:sz w:val="16"/>
          <w:szCs w:val="16"/>
        </w:rPr>
        <w:t>[2012] FWA 10626</w:t>
      </w:r>
    </w:p>
  </w:footnote>
  <w:footnote w:id="11">
    <w:p w:rsidR="00124FEF" w:rsidRPr="000344D5" w:rsidRDefault="00124FEF">
      <w:pPr>
        <w:pStyle w:val="FootnoteText"/>
        <w:rPr>
          <w:sz w:val="16"/>
          <w:szCs w:val="16"/>
        </w:rPr>
      </w:pPr>
      <w:r w:rsidRPr="000344D5">
        <w:rPr>
          <w:rStyle w:val="FootnoteReference"/>
          <w:sz w:val="16"/>
          <w:szCs w:val="16"/>
        </w:rPr>
        <w:footnoteRef/>
      </w:r>
      <w:r w:rsidRPr="000344D5">
        <w:rPr>
          <w:sz w:val="16"/>
          <w:szCs w:val="16"/>
        </w:rPr>
        <w:t xml:space="preserve"> </w:t>
      </w:r>
      <w:r w:rsidRPr="000344D5">
        <w:rPr>
          <w:rFonts w:ascii="Arial" w:hAnsi="Arial" w:cs="Arial"/>
          <w:sz w:val="16"/>
          <w:szCs w:val="16"/>
        </w:rPr>
        <w:t xml:space="preserve">see: </w:t>
      </w:r>
      <w:r w:rsidRPr="000344D5">
        <w:rPr>
          <w:rFonts w:ascii="Arial" w:hAnsi="Arial" w:cs="Arial"/>
          <w:i/>
          <w:sz w:val="16"/>
          <w:szCs w:val="16"/>
        </w:rPr>
        <w:t xml:space="preserve">Crozier v Palazzo Corporation Pty Ltd </w:t>
      </w:r>
      <w:r w:rsidR="00774BF9">
        <w:rPr>
          <w:rFonts w:ascii="Arial" w:hAnsi="Arial" w:cs="Arial"/>
          <w:sz w:val="16"/>
          <w:szCs w:val="16"/>
        </w:rPr>
        <w:t>(2000) 98 IR 137 at [75]</w:t>
      </w:r>
    </w:p>
  </w:footnote>
  <w:footnote w:id="12">
    <w:p w:rsidR="00124FEF" w:rsidRPr="000344D5" w:rsidRDefault="00124FEF">
      <w:pPr>
        <w:pStyle w:val="FootnoteText"/>
        <w:rPr>
          <w:sz w:val="16"/>
          <w:szCs w:val="16"/>
        </w:rPr>
      </w:pPr>
      <w:r w:rsidRPr="000344D5">
        <w:rPr>
          <w:rStyle w:val="FootnoteReference"/>
          <w:sz w:val="16"/>
          <w:szCs w:val="16"/>
        </w:rPr>
        <w:footnoteRef/>
      </w:r>
      <w:r w:rsidRPr="000344D5">
        <w:rPr>
          <w:sz w:val="16"/>
          <w:szCs w:val="16"/>
        </w:rPr>
        <w:t xml:space="preserve"> </w:t>
      </w:r>
      <w:r w:rsidRPr="000344D5">
        <w:rPr>
          <w:rFonts w:ascii="Arial" w:hAnsi="Arial" w:cs="Arial"/>
          <w:sz w:val="16"/>
          <w:szCs w:val="16"/>
        </w:rPr>
        <w:t xml:space="preserve">see: </w:t>
      </w:r>
      <w:r w:rsidRPr="000344D5">
        <w:rPr>
          <w:rFonts w:ascii="Arial" w:hAnsi="Arial" w:cs="Arial"/>
          <w:i/>
          <w:sz w:val="16"/>
          <w:szCs w:val="16"/>
        </w:rPr>
        <w:t xml:space="preserve">RMIT v Asher </w:t>
      </w:r>
      <w:r w:rsidR="00774BF9">
        <w:rPr>
          <w:rFonts w:ascii="Arial" w:hAnsi="Arial" w:cs="Arial"/>
          <w:sz w:val="16"/>
          <w:szCs w:val="16"/>
        </w:rPr>
        <w:t>(2010) 194 IR 1 at [14-15]</w:t>
      </w:r>
    </w:p>
  </w:footnote>
  <w:footnote w:id="13">
    <w:p w:rsidR="00124FEF" w:rsidRDefault="00124FEF">
      <w:pPr>
        <w:pStyle w:val="FootnoteText"/>
      </w:pPr>
      <w:r w:rsidRPr="000344D5">
        <w:rPr>
          <w:rStyle w:val="FootnoteReference"/>
          <w:sz w:val="16"/>
          <w:szCs w:val="16"/>
        </w:rPr>
        <w:footnoteRef/>
      </w:r>
      <w:r w:rsidRPr="000344D5">
        <w:rPr>
          <w:sz w:val="16"/>
          <w:szCs w:val="16"/>
        </w:rPr>
        <w:t xml:space="preserve"> </w:t>
      </w:r>
      <w:r w:rsidRPr="000344D5">
        <w:rPr>
          <w:rFonts w:ascii="Arial" w:hAnsi="Arial" w:cs="Arial"/>
          <w:sz w:val="16"/>
          <w:szCs w:val="16"/>
        </w:rPr>
        <w:t xml:space="preserve">see: </w:t>
      </w:r>
      <w:r w:rsidRPr="000344D5">
        <w:rPr>
          <w:rFonts w:ascii="Arial" w:hAnsi="Arial" w:cs="Arial"/>
          <w:i/>
          <w:sz w:val="16"/>
          <w:szCs w:val="16"/>
        </w:rPr>
        <w:t xml:space="preserve">Ryan v Logan &amp; Co Pty Ltd </w:t>
      </w:r>
      <w:r w:rsidR="00774BF9">
        <w:rPr>
          <w:rFonts w:ascii="Arial" w:hAnsi="Arial" w:cs="Arial"/>
          <w:sz w:val="16"/>
          <w:szCs w:val="16"/>
        </w:rPr>
        <w:t>[2011] FWA 161</w:t>
      </w:r>
    </w:p>
  </w:footnote>
  <w:footnote w:id="14">
    <w:p w:rsidR="00124FEF" w:rsidRPr="000344D5" w:rsidRDefault="00124FEF">
      <w:pPr>
        <w:pStyle w:val="FootnoteText"/>
        <w:rPr>
          <w:sz w:val="16"/>
          <w:szCs w:val="16"/>
        </w:rPr>
      </w:pPr>
      <w:r w:rsidRPr="000344D5">
        <w:rPr>
          <w:rStyle w:val="FootnoteReference"/>
          <w:sz w:val="16"/>
          <w:szCs w:val="16"/>
        </w:rPr>
        <w:footnoteRef/>
      </w:r>
      <w:r w:rsidRPr="000344D5">
        <w:rPr>
          <w:sz w:val="16"/>
          <w:szCs w:val="16"/>
        </w:rPr>
        <w:t xml:space="preserve"> </w:t>
      </w:r>
      <w:r w:rsidRPr="000344D5">
        <w:rPr>
          <w:rFonts w:ascii="Arial" w:hAnsi="Arial" w:cs="Arial"/>
          <w:sz w:val="16"/>
          <w:szCs w:val="16"/>
        </w:rPr>
        <w:t xml:space="preserve">see: </w:t>
      </w:r>
      <w:r w:rsidRPr="000344D5">
        <w:rPr>
          <w:rFonts w:ascii="Arial" w:hAnsi="Arial" w:cs="Arial"/>
          <w:i/>
          <w:sz w:val="16"/>
          <w:szCs w:val="16"/>
        </w:rPr>
        <w:t xml:space="preserve">Laker v Bendigo and Adelaide Bank Limited </w:t>
      </w:r>
      <w:r w:rsidR="00774BF9">
        <w:rPr>
          <w:rFonts w:ascii="Arial" w:hAnsi="Arial" w:cs="Arial"/>
          <w:sz w:val="16"/>
          <w:szCs w:val="16"/>
        </w:rPr>
        <w:t>[2010] FWA 5713</w:t>
      </w:r>
    </w:p>
  </w:footnote>
  <w:footnote w:id="15">
    <w:p w:rsidR="00124FEF" w:rsidRPr="000344D5" w:rsidRDefault="00124FEF">
      <w:pPr>
        <w:pStyle w:val="FootnoteText"/>
        <w:rPr>
          <w:sz w:val="16"/>
          <w:szCs w:val="16"/>
        </w:rPr>
      </w:pPr>
      <w:r w:rsidRPr="000344D5">
        <w:rPr>
          <w:rStyle w:val="FootnoteReference"/>
          <w:sz w:val="16"/>
          <w:szCs w:val="16"/>
        </w:rPr>
        <w:footnoteRef/>
      </w:r>
      <w:r w:rsidRPr="000344D5">
        <w:rPr>
          <w:sz w:val="16"/>
          <w:szCs w:val="16"/>
        </w:rPr>
        <w:t xml:space="preserve"> </w:t>
      </w:r>
      <w:r w:rsidRPr="000344D5">
        <w:rPr>
          <w:rFonts w:ascii="Arial" w:hAnsi="Arial" w:cs="Arial"/>
          <w:sz w:val="16"/>
          <w:szCs w:val="16"/>
        </w:rPr>
        <w:t xml:space="preserve">see: </w:t>
      </w:r>
      <w:r w:rsidRPr="000344D5">
        <w:rPr>
          <w:rFonts w:ascii="Arial" w:hAnsi="Arial" w:cs="Arial"/>
          <w:i/>
          <w:sz w:val="16"/>
          <w:szCs w:val="16"/>
        </w:rPr>
        <w:t xml:space="preserve">Johnston v Woodpile Investments t/a Hog’s Breath Café – </w:t>
      </w:r>
      <w:proofErr w:type="spellStart"/>
      <w:r w:rsidRPr="000344D5">
        <w:rPr>
          <w:rFonts w:ascii="Arial" w:hAnsi="Arial" w:cs="Arial"/>
          <w:i/>
          <w:sz w:val="16"/>
          <w:szCs w:val="16"/>
        </w:rPr>
        <w:t>Minadarie</w:t>
      </w:r>
      <w:proofErr w:type="spellEnd"/>
      <w:r w:rsidRPr="000344D5">
        <w:rPr>
          <w:rFonts w:ascii="Arial" w:hAnsi="Arial" w:cs="Arial"/>
          <w:i/>
          <w:sz w:val="16"/>
          <w:szCs w:val="16"/>
        </w:rPr>
        <w:t xml:space="preserve"> </w:t>
      </w:r>
      <w:r w:rsidR="00774BF9">
        <w:rPr>
          <w:rFonts w:ascii="Arial" w:hAnsi="Arial" w:cs="Arial"/>
          <w:sz w:val="16"/>
          <w:szCs w:val="16"/>
        </w:rPr>
        <w:t>[2012] FWA 2</w:t>
      </w:r>
    </w:p>
  </w:footnote>
  <w:footnote w:id="16">
    <w:p w:rsidR="00124FEF" w:rsidRPr="000344D5" w:rsidRDefault="00124FEF">
      <w:pPr>
        <w:pStyle w:val="FootnoteText"/>
        <w:rPr>
          <w:sz w:val="16"/>
          <w:szCs w:val="16"/>
        </w:rPr>
      </w:pPr>
      <w:r w:rsidRPr="000344D5">
        <w:rPr>
          <w:rStyle w:val="FootnoteReference"/>
          <w:sz w:val="16"/>
          <w:szCs w:val="16"/>
        </w:rPr>
        <w:footnoteRef/>
      </w:r>
      <w:r w:rsidRPr="000344D5">
        <w:rPr>
          <w:sz w:val="16"/>
          <w:szCs w:val="16"/>
        </w:rPr>
        <w:t xml:space="preserve"> </w:t>
      </w:r>
      <w:r w:rsidRPr="000344D5">
        <w:rPr>
          <w:rFonts w:ascii="Arial" w:hAnsi="Arial" w:cs="Arial"/>
          <w:sz w:val="16"/>
          <w:szCs w:val="16"/>
        </w:rPr>
        <w:t xml:space="preserve">see: </w:t>
      </w:r>
      <w:r w:rsidRPr="000344D5">
        <w:rPr>
          <w:rFonts w:ascii="Arial" w:hAnsi="Arial" w:cs="Arial"/>
          <w:i/>
          <w:sz w:val="16"/>
          <w:szCs w:val="16"/>
        </w:rPr>
        <w:t xml:space="preserve">Martin v Donut King Chirnside Park t/a </w:t>
      </w:r>
      <w:proofErr w:type="spellStart"/>
      <w:r w:rsidRPr="000344D5">
        <w:rPr>
          <w:rFonts w:ascii="Arial" w:hAnsi="Arial" w:cs="Arial"/>
          <w:i/>
          <w:sz w:val="16"/>
          <w:szCs w:val="16"/>
        </w:rPr>
        <w:t>Hersing</w:t>
      </w:r>
      <w:proofErr w:type="spellEnd"/>
      <w:r w:rsidRPr="000344D5">
        <w:rPr>
          <w:rFonts w:ascii="Arial" w:hAnsi="Arial" w:cs="Arial"/>
          <w:i/>
          <w:sz w:val="16"/>
          <w:szCs w:val="16"/>
        </w:rPr>
        <w:t xml:space="preserve"> Pty Ltd </w:t>
      </w:r>
      <w:r w:rsidR="00774BF9">
        <w:rPr>
          <w:rFonts w:ascii="Arial" w:hAnsi="Arial" w:cs="Arial"/>
          <w:sz w:val="16"/>
          <w:szCs w:val="16"/>
        </w:rPr>
        <w:t>[2012] FWA 2905</w:t>
      </w:r>
    </w:p>
  </w:footnote>
  <w:footnote w:id="17">
    <w:p w:rsidR="00124FEF" w:rsidRPr="000344D5" w:rsidRDefault="00124FEF">
      <w:pPr>
        <w:pStyle w:val="FootnoteText"/>
        <w:rPr>
          <w:sz w:val="16"/>
          <w:szCs w:val="16"/>
        </w:rPr>
      </w:pPr>
      <w:r w:rsidRPr="000344D5">
        <w:rPr>
          <w:rStyle w:val="FootnoteReference"/>
          <w:sz w:val="16"/>
          <w:szCs w:val="16"/>
        </w:rPr>
        <w:footnoteRef/>
      </w:r>
      <w:r w:rsidRPr="000344D5">
        <w:rPr>
          <w:sz w:val="16"/>
          <w:szCs w:val="16"/>
        </w:rPr>
        <w:t xml:space="preserve"> </w:t>
      </w:r>
      <w:r w:rsidRPr="000344D5">
        <w:rPr>
          <w:rFonts w:ascii="Arial" w:hAnsi="Arial" w:cs="Arial"/>
          <w:sz w:val="16"/>
          <w:szCs w:val="16"/>
        </w:rPr>
        <w:t xml:space="preserve">see: </w:t>
      </w:r>
      <w:proofErr w:type="spellStart"/>
      <w:r w:rsidRPr="000344D5">
        <w:rPr>
          <w:rFonts w:ascii="Arial" w:hAnsi="Arial" w:cs="Arial"/>
          <w:i/>
          <w:sz w:val="16"/>
          <w:szCs w:val="16"/>
        </w:rPr>
        <w:t>Fastdia</w:t>
      </w:r>
      <w:proofErr w:type="spellEnd"/>
      <w:r w:rsidRPr="000344D5">
        <w:rPr>
          <w:rFonts w:ascii="Arial" w:hAnsi="Arial" w:cs="Arial"/>
          <w:i/>
          <w:sz w:val="16"/>
          <w:szCs w:val="16"/>
        </w:rPr>
        <w:t xml:space="preserve"> Pty Ltd v Goodwin </w:t>
      </w:r>
      <w:r w:rsidR="00774BF9">
        <w:rPr>
          <w:rFonts w:ascii="Arial" w:hAnsi="Arial" w:cs="Arial"/>
          <w:sz w:val="16"/>
          <w:szCs w:val="16"/>
        </w:rPr>
        <w:t>(unreported, 21 August 2000</w:t>
      </w:r>
    </w:p>
  </w:footnote>
  <w:footnote w:id="18">
    <w:p w:rsidR="00124FEF" w:rsidRDefault="00124FEF">
      <w:pPr>
        <w:pStyle w:val="FootnoteText"/>
      </w:pPr>
      <w:r w:rsidRPr="000344D5">
        <w:rPr>
          <w:rStyle w:val="FootnoteReference"/>
          <w:sz w:val="16"/>
          <w:szCs w:val="16"/>
        </w:rPr>
        <w:footnoteRef/>
      </w:r>
      <w:r w:rsidRPr="000344D5">
        <w:rPr>
          <w:sz w:val="16"/>
          <w:szCs w:val="16"/>
        </w:rPr>
        <w:t xml:space="preserve"> </w:t>
      </w:r>
      <w:r w:rsidRPr="000344D5">
        <w:rPr>
          <w:rFonts w:ascii="Arial" w:hAnsi="Arial" w:cs="Arial"/>
          <w:sz w:val="16"/>
          <w:szCs w:val="16"/>
        </w:rPr>
        <w:t xml:space="preserve">see: </w:t>
      </w:r>
      <w:r w:rsidRPr="000344D5">
        <w:rPr>
          <w:rFonts w:ascii="Arial" w:hAnsi="Arial" w:cs="Arial"/>
          <w:i/>
          <w:sz w:val="16"/>
          <w:szCs w:val="16"/>
        </w:rPr>
        <w:t xml:space="preserve">Williams v The Chuang Family Trust t/a Top Hair Design </w:t>
      </w:r>
      <w:r w:rsidRPr="000344D5">
        <w:rPr>
          <w:rFonts w:ascii="Arial" w:hAnsi="Arial" w:cs="Arial"/>
          <w:sz w:val="16"/>
          <w:szCs w:val="16"/>
        </w:rPr>
        <w:t xml:space="preserve">[2012] FWA 9517 (unreported, </w:t>
      </w:r>
      <w:proofErr w:type="spellStart"/>
      <w:r w:rsidRPr="000344D5">
        <w:rPr>
          <w:rFonts w:ascii="Arial" w:hAnsi="Arial" w:cs="Arial"/>
          <w:sz w:val="16"/>
          <w:szCs w:val="16"/>
        </w:rPr>
        <w:t>Clog</w:t>
      </w:r>
      <w:r w:rsidR="00774BF9">
        <w:rPr>
          <w:rFonts w:ascii="Arial" w:hAnsi="Arial" w:cs="Arial"/>
          <w:sz w:val="16"/>
          <w:szCs w:val="16"/>
        </w:rPr>
        <w:t>an</w:t>
      </w:r>
      <w:proofErr w:type="spellEnd"/>
      <w:r w:rsidR="00774BF9">
        <w:rPr>
          <w:rFonts w:ascii="Arial" w:hAnsi="Arial" w:cs="Arial"/>
          <w:sz w:val="16"/>
          <w:szCs w:val="16"/>
        </w:rPr>
        <w:t xml:space="preserve"> C, 12 November 2012) at [40]</w:t>
      </w:r>
    </w:p>
  </w:footnote>
  <w:footnote w:id="19">
    <w:p w:rsidR="00124FEF" w:rsidRPr="000344D5" w:rsidRDefault="00124FEF">
      <w:pPr>
        <w:pStyle w:val="FootnoteText"/>
        <w:rPr>
          <w:sz w:val="16"/>
          <w:szCs w:val="16"/>
        </w:rPr>
      </w:pPr>
      <w:r w:rsidRPr="000344D5">
        <w:rPr>
          <w:rStyle w:val="FootnoteReference"/>
          <w:sz w:val="16"/>
          <w:szCs w:val="16"/>
        </w:rPr>
        <w:footnoteRef/>
      </w:r>
      <w:r w:rsidRPr="000344D5">
        <w:rPr>
          <w:sz w:val="16"/>
          <w:szCs w:val="16"/>
        </w:rPr>
        <w:t xml:space="preserve"> </w:t>
      </w:r>
      <w:r w:rsidRPr="000344D5">
        <w:rPr>
          <w:rFonts w:ascii="Arial" w:hAnsi="Arial" w:cs="Arial"/>
          <w:sz w:val="16"/>
          <w:szCs w:val="16"/>
        </w:rPr>
        <w:t xml:space="preserve">see: </w:t>
      </w:r>
      <w:r w:rsidRPr="000344D5">
        <w:rPr>
          <w:rFonts w:ascii="Arial" w:hAnsi="Arial" w:cs="Arial"/>
          <w:i/>
          <w:sz w:val="16"/>
          <w:szCs w:val="16"/>
        </w:rPr>
        <w:t xml:space="preserve">Sykes v </w:t>
      </w:r>
      <w:proofErr w:type="spellStart"/>
      <w:r w:rsidRPr="000344D5">
        <w:rPr>
          <w:rFonts w:ascii="Arial" w:hAnsi="Arial" w:cs="Arial"/>
          <w:i/>
          <w:sz w:val="16"/>
          <w:szCs w:val="16"/>
        </w:rPr>
        <w:t>Heatly</w:t>
      </w:r>
      <w:proofErr w:type="spellEnd"/>
      <w:r w:rsidRPr="000344D5">
        <w:rPr>
          <w:rFonts w:ascii="Arial" w:hAnsi="Arial" w:cs="Arial"/>
          <w:i/>
          <w:sz w:val="16"/>
          <w:szCs w:val="16"/>
        </w:rPr>
        <w:t xml:space="preserve"> Pty Ltd t/a </w:t>
      </w:r>
      <w:proofErr w:type="spellStart"/>
      <w:r w:rsidRPr="000344D5">
        <w:rPr>
          <w:rFonts w:ascii="Arial" w:hAnsi="Arial" w:cs="Arial"/>
          <w:i/>
          <w:sz w:val="16"/>
          <w:szCs w:val="16"/>
        </w:rPr>
        <w:t>Heatly</w:t>
      </w:r>
      <w:proofErr w:type="spellEnd"/>
      <w:r w:rsidRPr="000344D5">
        <w:rPr>
          <w:rFonts w:ascii="Arial" w:hAnsi="Arial" w:cs="Arial"/>
          <w:i/>
          <w:sz w:val="16"/>
          <w:szCs w:val="16"/>
        </w:rPr>
        <w:t xml:space="preserve"> Sports </w:t>
      </w:r>
      <w:r w:rsidRPr="000344D5">
        <w:rPr>
          <w:rFonts w:ascii="Arial" w:hAnsi="Arial" w:cs="Arial"/>
          <w:sz w:val="16"/>
          <w:szCs w:val="16"/>
        </w:rPr>
        <w:t>(unreported, AIRC, Grainger C, 6 Fe</w:t>
      </w:r>
      <w:r w:rsidR="00766F1E">
        <w:rPr>
          <w:rFonts w:ascii="Arial" w:hAnsi="Arial" w:cs="Arial"/>
          <w:sz w:val="16"/>
          <w:szCs w:val="16"/>
        </w:rPr>
        <w:t>bruary 2002) PR914149 at [20]</w:t>
      </w:r>
    </w:p>
  </w:footnote>
  <w:footnote w:id="20">
    <w:p w:rsidR="00124FEF" w:rsidRPr="000344D5" w:rsidRDefault="00124FEF">
      <w:pPr>
        <w:pStyle w:val="FootnoteText"/>
        <w:rPr>
          <w:sz w:val="16"/>
          <w:szCs w:val="16"/>
        </w:rPr>
      </w:pPr>
      <w:r w:rsidRPr="000344D5">
        <w:rPr>
          <w:rStyle w:val="FootnoteReference"/>
          <w:sz w:val="16"/>
          <w:szCs w:val="16"/>
        </w:rPr>
        <w:footnoteRef/>
      </w:r>
      <w:r w:rsidRPr="000344D5">
        <w:rPr>
          <w:sz w:val="16"/>
          <w:szCs w:val="16"/>
        </w:rPr>
        <w:t xml:space="preserve"> </w:t>
      </w:r>
      <w:r w:rsidRPr="000344D5">
        <w:rPr>
          <w:rFonts w:ascii="Arial" w:hAnsi="Arial" w:cs="Arial"/>
          <w:sz w:val="16"/>
          <w:szCs w:val="16"/>
        </w:rPr>
        <w:t xml:space="preserve">see: </w:t>
      </w:r>
      <w:r w:rsidRPr="000344D5">
        <w:rPr>
          <w:rFonts w:ascii="Arial" w:hAnsi="Arial" w:cs="Arial"/>
          <w:i/>
          <w:sz w:val="16"/>
          <w:szCs w:val="16"/>
        </w:rPr>
        <w:t xml:space="preserve">Sexton v Pacific National (ACT) Pty Ltd </w:t>
      </w:r>
      <w:r w:rsidRPr="000344D5">
        <w:rPr>
          <w:rFonts w:ascii="Arial" w:hAnsi="Arial" w:cs="Arial"/>
          <w:sz w:val="16"/>
          <w:szCs w:val="16"/>
        </w:rPr>
        <w:t>(unreported, AIRC, Lawler VP, 15 May 2003 PR31440 at [33]</w:t>
      </w:r>
    </w:p>
  </w:footnote>
  <w:footnote w:id="21">
    <w:p w:rsidR="00124FEF" w:rsidRPr="000344D5" w:rsidRDefault="00124FEF">
      <w:pPr>
        <w:pStyle w:val="FootnoteText"/>
        <w:rPr>
          <w:sz w:val="16"/>
          <w:szCs w:val="16"/>
        </w:rPr>
      </w:pPr>
      <w:r w:rsidRPr="000344D5">
        <w:rPr>
          <w:rStyle w:val="FootnoteReference"/>
          <w:sz w:val="16"/>
          <w:szCs w:val="16"/>
        </w:rPr>
        <w:footnoteRef/>
      </w:r>
      <w:r w:rsidRPr="000344D5">
        <w:rPr>
          <w:sz w:val="16"/>
          <w:szCs w:val="16"/>
        </w:rPr>
        <w:t xml:space="preserve"> </w:t>
      </w:r>
      <w:r w:rsidRPr="000344D5">
        <w:rPr>
          <w:rFonts w:ascii="Arial" w:hAnsi="Arial" w:cs="Arial"/>
          <w:sz w:val="16"/>
          <w:szCs w:val="16"/>
        </w:rPr>
        <w:t xml:space="preserve">see: </w:t>
      </w:r>
      <w:proofErr w:type="spellStart"/>
      <w:r w:rsidRPr="000344D5">
        <w:rPr>
          <w:rFonts w:ascii="Arial" w:hAnsi="Arial" w:cs="Arial"/>
          <w:i/>
          <w:sz w:val="16"/>
          <w:szCs w:val="16"/>
        </w:rPr>
        <w:t>Ricegrowers</w:t>
      </w:r>
      <w:proofErr w:type="spellEnd"/>
      <w:r w:rsidRPr="000344D5">
        <w:rPr>
          <w:rFonts w:ascii="Arial" w:hAnsi="Arial" w:cs="Arial"/>
          <w:i/>
          <w:sz w:val="16"/>
          <w:szCs w:val="16"/>
        </w:rPr>
        <w:t xml:space="preserve"> Co-operative Limited v </w:t>
      </w:r>
      <w:proofErr w:type="spellStart"/>
      <w:r w:rsidRPr="000344D5">
        <w:rPr>
          <w:rFonts w:ascii="Arial" w:hAnsi="Arial" w:cs="Arial"/>
          <w:i/>
          <w:sz w:val="16"/>
          <w:szCs w:val="16"/>
        </w:rPr>
        <w:t>Schliebs</w:t>
      </w:r>
      <w:proofErr w:type="spellEnd"/>
      <w:r w:rsidRPr="000344D5">
        <w:rPr>
          <w:rFonts w:ascii="Arial" w:hAnsi="Arial" w:cs="Arial"/>
          <w:i/>
          <w:sz w:val="16"/>
          <w:szCs w:val="16"/>
        </w:rPr>
        <w:t xml:space="preserve"> </w:t>
      </w:r>
      <w:r w:rsidRPr="000344D5">
        <w:rPr>
          <w:rFonts w:ascii="Arial" w:hAnsi="Arial" w:cs="Arial"/>
          <w:sz w:val="16"/>
          <w:szCs w:val="16"/>
        </w:rPr>
        <w:t>(unreport</w:t>
      </w:r>
      <w:r w:rsidR="00766F1E">
        <w:rPr>
          <w:rFonts w:ascii="Arial" w:hAnsi="Arial" w:cs="Arial"/>
          <w:sz w:val="16"/>
          <w:szCs w:val="16"/>
        </w:rPr>
        <w:t>ed 31August 2001) PR908351 [27]</w:t>
      </w:r>
    </w:p>
  </w:footnote>
  <w:footnote w:id="22">
    <w:p w:rsidR="00124FEF" w:rsidRDefault="00124FEF">
      <w:pPr>
        <w:pStyle w:val="FootnoteText"/>
      </w:pPr>
      <w:r w:rsidRPr="000344D5">
        <w:rPr>
          <w:rStyle w:val="FootnoteReference"/>
          <w:sz w:val="16"/>
          <w:szCs w:val="16"/>
        </w:rPr>
        <w:footnoteRef/>
      </w:r>
      <w:r w:rsidRPr="000344D5">
        <w:rPr>
          <w:sz w:val="16"/>
          <w:szCs w:val="16"/>
        </w:rPr>
        <w:t xml:space="preserve"> </w:t>
      </w:r>
      <w:r w:rsidRPr="000344D5">
        <w:rPr>
          <w:rFonts w:ascii="Arial" w:hAnsi="Arial" w:cs="Arial"/>
          <w:sz w:val="16"/>
          <w:szCs w:val="16"/>
        </w:rPr>
        <w:t xml:space="preserve">see: </w:t>
      </w:r>
      <w:r w:rsidRPr="000344D5">
        <w:rPr>
          <w:rFonts w:ascii="Arial" w:hAnsi="Arial" w:cs="Arial"/>
          <w:i/>
          <w:sz w:val="16"/>
          <w:szCs w:val="16"/>
        </w:rPr>
        <w:t>Streeter v Telstra Corporation</w:t>
      </w:r>
      <w:r w:rsidR="00766F1E">
        <w:rPr>
          <w:rFonts w:ascii="Arial" w:hAnsi="Arial" w:cs="Arial"/>
          <w:sz w:val="16"/>
          <w:szCs w:val="16"/>
        </w:rPr>
        <w:t xml:space="preserve"> (2008) 170 IR 1 [25]</w:t>
      </w:r>
    </w:p>
  </w:footnote>
  <w:footnote w:id="23">
    <w:p w:rsidR="000344D5" w:rsidRPr="000344D5" w:rsidRDefault="000344D5">
      <w:pPr>
        <w:pStyle w:val="FootnoteText"/>
        <w:rPr>
          <w:sz w:val="16"/>
          <w:szCs w:val="16"/>
        </w:rPr>
      </w:pPr>
      <w:r w:rsidRPr="000344D5">
        <w:rPr>
          <w:rStyle w:val="FootnoteReference"/>
          <w:sz w:val="16"/>
          <w:szCs w:val="16"/>
        </w:rPr>
        <w:footnoteRef/>
      </w:r>
      <w:r w:rsidRPr="000344D5">
        <w:rPr>
          <w:sz w:val="16"/>
          <w:szCs w:val="16"/>
        </w:rPr>
        <w:t xml:space="preserve"> </w:t>
      </w:r>
      <w:r w:rsidRPr="000344D5">
        <w:rPr>
          <w:rFonts w:ascii="Arial" w:hAnsi="Arial" w:cs="Arial"/>
          <w:sz w:val="16"/>
          <w:szCs w:val="16"/>
        </w:rPr>
        <w:t xml:space="preserve">see: </w:t>
      </w:r>
      <w:r w:rsidRPr="000344D5">
        <w:rPr>
          <w:rFonts w:ascii="Arial" w:hAnsi="Arial" w:cs="Arial"/>
          <w:i/>
          <w:sz w:val="16"/>
          <w:szCs w:val="16"/>
        </w:rPr>
        <w:t xml:space="preserve">Jones v Department of Energy and Mineral </w:t>
      </w:r>
      <w:r w:rsidR="00774BF9">
        <w:rPr>
          <w:rFonts w:ascii="Arial" w:hAnsi="Arial" w:cs="Arial"/>
          <w:sz w:val="16"/>
          <w:szCs w:val="16"/>
        </w:rPr>
        <w:t>(1995) 60 IR 304 at [308]</w:t>
      </w:r>
    </w:p>
  </w:footnote>
  <w:footnote w:id="24">
    <w:p w:rsidR="000344D5" w:rsidRPr="000344D5" w:rsidRDefault="000344D5">
      <w:pPr>
        <w:pStyle w:val="FootnoteText"/>
        <w:rPr>
          <w:sz w:val="16"/>
          <w:szCs w:val="16"/>
        </w:rPr>
      </w:pPr>
      <w:r w:rsidRPr="000344D5">
        <w:rPr>
          <w:rStyle w:val="FootnoteReference"/>
          <w:sz w:val="16"/>
          <w:szCs w:val="16"/>
        </w:rPr>
        <w:footnoteRef/>
      </w:r>
      <w:r w:rsidRPr="000344D5">
        <w:rPr>
          <w:sz w:val="16"/>
          <w:szCs w:val="16"/>
        </w:rPr>
        <w:t xml:space="preserve"> </w:t>
      </w:r>
      <w:r w:rsidRPr="000344D5">
        <w:rPr>
          <w:rFonts w:ascii="Arial" w:hAnsi="Arial" w:cs="Arial"/>
          <w:sz w:val="16"/>
          <w:szCs w:val="16"/>
        </w:rPr>
        <w:t xml:space="preserve">see: </w:t>
      </w:r>
      <w:r w:rsidRPr="000344D5">
        <w:rPr>
          <w:rFonts w:ascii="Arial" w:hAnsi="Arial" w:cs="Arial"/>
          <w:i/>
          <w:sz w:val="16"/>
          <w:szCs w:val="16"/>
        </w:rPr>
        <w:t xml:space="preserve">Rosenfeld v United Petroleum Pty Ltd t/a United Petroleum </w:t>
      </w:r>
      <w:r w:rsidRPr="000344D5">
        <w:rPr>
          <w:rFonts w:ascii="Arial" w:hAnsi="Arial" w:cs="Arial"/>
          <w:sz w:val="16"/>
          <w:szCs w:val="16"/>
        </w:rPr>
        <w:t>[2012] FWA 2445 (unr</w:t>
      </w:r>
      <w:r w:rsidR="00774BF9">
        <w:rPr>
          <w:rFonts w:ascii="Arial" w:hAnsi="Arial" w:cs="Arial"/>
          <w:sz w:val="16"/>
          <w:szCs w:val="16"/>
        </w:rPr>
        <w:t>eported, Ryan C, 22 March 2012</w:t>
      </w:r>
    </w:p>
  </w:footnote>
  <w:footnote w:id="25">
    <w:p w:rsidR="000344D5" w:rsidRDefault="000344D5">
      <w:pPr>
        <w:pStyle w:val="FootnoteText"/>
      </w:pPr>
      <w:r w:rsidRPr="000344D5">
        <w:rPr>
          <w:rStyle w:val="FootnoteReference"/>
          <w:sz w:val="16"/>
          <w:szCs w:val="16"/>
        </w:rPr>
        <w:footnoteRef/>
      </w:r>
      <w:r w:rsidRPr="000344D5">
        <w:rPr>
          <w:sz w:val="16"/>
          <w:szCs w:val="16"/>
        </w:rPr>
        <w:t xml:space="preserve"> </w:t>
      </w:r>
      <w:r w:rsidRPr="000344D5">
        <w:rPr>
          <w:rFonts w:ascii="Arial" w:hAnsi="Arial" w:cs="Arial"/>
          <w:sz w:val="16"/>
          <w:szCs w:val="16"/>
        </w:rPr>
        <w:t xml:space="preserve">see: </w:t>
      </w:r>
      <w:proofErr w:type="spellStart"/>
      <w:r w:rsidRPr="000344D5">
        <w:rPr>
          <w:rFonts w:ascii="Arial" w:hAnsi="Arial" w:cs="Arial"/>
          <w:i/>
          <w:sz w:val="16"/>
          <w:szCs w:val="16"/>
        </w:rPr>
        <w:t>Trebble</w:t>
      </w:r>
      <w:proofErr w:type="spellEnd"/>
      <w:r w:rsidRPr="000344D5">
        <w:rPr>
          <w:rFonts w:ascii="Arial" w:hAnsi="Arial" w:cs="Arial"/>
          <w:i/>
          <w:sz w:val="16"/>
          <w:szCs w:val="16"/>
        </w:rPr>
        <w:t xml:space="preserve"> v </w:t>
      </w:r>
      <w:proofErr w:type="spellStart"/>
      <w:r w:rsidRPr="000344D5">
        <w:rPr>
          <w:rFonts w:ascii="Arial" w:hAnsi="Arial" w:cs="Arial"/>
          <w:i/>
          <w:sz w:val="16"/>
          <w:szCs w:val="16"/>
        </w:rPr>
        <w:t>Rizmas</w:t>
      </w:r>
      <w:proofErr w:type="spellEnd"/>
      <w:r w:rsidRPr="000344D5">
        <w:rPr>
          <w:rFonts w:ascii="Arial" w:hAnsi="Arial" w:cs="Arial"/>
          <w:i/>
          <w:sz w:val="16"/>
          <w:szCs w:val="16"/>
        </w:rPr>
        <w:t xml:space="preserve"> Pty Ltd </w:t>
      </w:r>
      <w:r w:rsidRPr="000344D5">
        <w:rPr>
          <w:rFonts w:ascii="Arial" w:hAnsi="Arial" w:cs="Arial"/>
          <w:sz w:val="16"/>
          <w:szCs w:val="16"/>
        </w:rPr>
        <w:t>[2011] FWA 6853 (unr</w:t>
      </w:r>
      <w:r w:rsidR="00774BF9">
        <w:rPr>
          <w:rFonts w:ascii="Arial" w:hAnsi="Arial" w:cs="Arial"/>
          <w:sz w:val="16"/>
          <w:szCs w:val="16"/>
        </w:rPr>
        <w:t>eported, Roe C, 5 October 2011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6671142"/>
      <w:docPartObj>
        <w:docPartGallery w:val="Page Numbers (Top of Page)"/>
        <w:docPartUnique/>
      </w:docPartObj>
    </w:sdtPr>
    <w:sdtEndPr>
      <w:rPr>
        <w:noProof/>
      </w:rPr>
    </w:sdtEndPr>
    <w:sdtContent>
      <w:p w:rsidR="000344D5" w:rsidRDefault="000344D5">
        <w:pPr>
          <w:pStyle w:val="Header"/>
          <w:jc w:val="center"/>
        </w:pPr>
        <w:r>
          <w:fldChar w:fldCharType="begin"/>
        </w:r>
        <w:r>
          <w:instrText xml:space="preserve"> PAGE   \* MERGEFORMAT </w:instrText>
        </w:r>
        <w:r>
          <w:fldChar w:fldCharType="separate"/>
        </w:r>
        <w:r w:rsidR="009A61C3">
          <w:rPr>
            <w:noProof/>
          </w:rPr>
          <w:t>11</w:t>
        </w:r>
        <w:r>
          <w:rPr>
            <w:noProof/>
          </w:rPr>
          <w:fldChar w:fldCharType="end"/>
        </w:r>
      </w:p>
    </w:sdtContent>
  </w:sdt>
  <w:p w:rsidR="000344D5" w:rsidRDefault="000344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26922"/>
    <w:multiLevelType w:val="hybridMultilevel"/>
    <w:tmpl w:val="30E4156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15:restartNumberingAfterBreak="0">
    <w:nsid w:val="0F084A1E"/>
    <w:multiLevelType w:val="hybridMultilevel"/>
    <w:tmpl w:val="4D68F35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 w15:restartNumberingAfterBreak="0">
    <w:nsid w:val="11CF6996"/>
    <w:multiLevelType w:val="hybridMultilevel"/>
    <w:tmpl w:val="B5529A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B37024"/>
    <w:multiLevelType w:val="hybridMultilevel"/>
    <w:tmpl w:val="C5D4095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1BED0109"/>
    <w:multiLevelType w:val="hybridMultilevel"/>
    <w:tmpl w:val="E20C8F76"/>
    <w:lvl w:ilvl="0" w:tplc="CF546CC2">
      <w:start w:val="1"/>
      <w:numFmt w:val="lowerLetter"/>
      <w:lvlText w:val="(%1)"/>
      <w:lvlJc w:val="left"/>
      <w:pPr>
        <w:ind w:left="6740" w:hanging="360"/>
      </w:pPr>
      <w:rPr>
        <w:rFonts w:hint="default"/>
      </w:rPr>
    </w:lvl>
    <w:lvl w:ilvl="1" w:tplc="0C090019" w:tentative="1">
      <w:start w:val="1"/>
      <w:numFmt w:val="lowerLetter"/>
      <w:lvlText w:val="%2."/>
      <w:lvlJc w:val="left"/>
      <w:pPr>
        <w:ind w:left="7460" w:hanging="360"/>
      </w:pPr>
    </w:lvl>
    <w:lvl w:ilvl="2" w:tplc="0C09001B" w:tentative="1">
      <w:start w:val="1"/>
      <w:numFmt w:val="lowerRoman"/>
      <w:lvlText w:val="%3."/>
      <w:lvlJc w:val="right"/>
      <w:pPr>
        <w:ind w:left="8180" w:hanging="180"/>
      </w:pPr>
    </w:lvl>
    <w:lvl w:ilvl="3" w:tplc="0C09000F" w:tentative="1">
      <w:start w:val="1"/>
      <w:numFmt w:val="decimal"/>
      <w:lvlText w:val="%4."/>
      <w:lvlJc w:val="left"/>
      <w:pPr>
        <w:ind w:left="8900" w:hanging="360"/>
      </w:pPr>
    </w:lvl>
    <w:lvl w:ilvl="4" w:tplc="0C090019" w:tentative="1">
      <w:start w:val="1"/>
      <w:numFmt w:val="lowerLetter"/>
      <w:lvlText w:val="%5."/>
      <w:lvlJc w:val="left"/>
      <w:pPr>
        <w:ind w:left="9620" w:hanging="360"/>
      </w:pPr>
    </w:lvl>
    <w:lvl w:ilvl="5" w:tplc="0C09001B" w:tentative="1">
      <w:start w:val="1"/>
      <w:numFmt w:val="lowerRoman"/>
      <w:lvlText w:val="%6."/>
      <w:lvlJc w:val="right"/>
      <w:pPr>
        <w:ind w:left="10340" w:hanging="180"/>
      </w:pPr>
    </w:lvl>
    <w:lvl w:ilvl="6" w:tplc="0C09000F" w:tentative="1">
      <w:start w:val="1"/>
      <w:numFmt w:val="decimal"/>
      <w:lvlText w:val="%7."/>
      <w:lvlJc w:val="left"/>
      <w:pPr>
        <w:ind w:left="11060" w:hanging="360"/>
      </w:pPr>
    </w:lvl>
    <w:lvl w:ilvl="7" w:tplc="0C090019" w:tentative="1">
      <w:start w:val="1"/>
      <w:numFmt w:val="lowerLetter"/>
      <w:lvlText w:val="%8."/>
      <w:lvlJc w:val="left"/>
      <w:pPr>
        <w:ind w:left="11780" w:hanging="360"/>
      </w:pPr>
    </w:lvl>
    <w:lvl w:ilvl="8" w:tplc="0C09001B" w:tentative="1">
      <w:start w:val="1"/>
      <w:numFmt w:val="lowerRoman"/>
      <w:lvlText w:val="%9."/>
      <w:lvlJc w:val="right"/>
      <w:pPr>
        <w:ind w:left="12500" w:hanging="180"/>
      </w:pPr>
    </w:lvl>
  </w:abstractNum>
  <w:abstractNum w:abstractNumId="5" w15:restartNumberingAfterBreak="0">
    <w:nsid w:val="1F275B42"/>
    <w:multiLevelType w:val="hybridMultilevel"/>
    <w:tmpl w:val="85DE1F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5846A15"/>
    <w:multiLevelType w:val="hybridMultilevel"/>
    <w:tmpl w:val="40A67A00"/>
    <w:lvl w:ilvl="0" w:tplc="CF546CC2">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A7E6FF0"/>
    <w:multiLevelType w:val="hybridMultilevel"/>
    <w:tmpl w:val="0E02E7C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 w15:restartNumberingAfterBreak="0">
    <w:nsid w:val="323428C7"/>
    <w:multiLevelType w:val="hybridMultilevel"/>
    <w:tmpl w:val="10EC76FA"/>
    <w:lvl w:ilvl="0" w:tplc="CF546CC2">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2271D1F"/>
    <w:multiLevelType w:val="hybridMultilevel"/>
    <w:tmpl w:val="EE26E4C2"/>
    <w:lvl w:ilvl="0" w:tplc="CF546CC2">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8023C58"/>
    <w:multiLevelType w:val="hybridMultilevel"/>
    <w:tmpl w:val="5B565F1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15:restartNumberingAfterBreak="0">
    <w:nsid w:val="4CD30323"/>
    <w:multiLevelType w:val="hybridMultilevel"/>
    <w:tmpl w:val="2A7893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3115367"/>
    <w:multiLevelType w:val="hybridMultilevel"/>
    <w:tmpl w:val="62DA9F88"/>
    <w:lvl w:ilvl="0" w:tplc="92CE6FE0">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5C74697"/>
    <w:multiLevelType w:val="hybridMultilevel"/>
    <w:tmpl w:val="A2E8102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4" w15:restartNumberingAfterBreak="0">
    <w:nsid w:val="67712751"/>
    <w:multiLevelType w:val="hybridMultilevel"/>
    <w:tmpl w:val="82DE22EC"/>
    <w:lvl w:ilvl="0" w:tplc="CF546CC2">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0E8370D"/>
    <w:multiLevelType w:val="hybridMultilevel"/>
    <w:tmpl w:val="4BC2B828"/>
    <w:lvl w:ilvl="0" w:tplc="0C090003">
      <w:start w:val="1"/>
      <w:numFmt w:val="bullet"/>
      <w:lvlText w:val="o"/>
      <w:lvlJc w:val="left"/>
      <w:pPr>
        <w:ind w:left="1899" w:hanging="360"/>
      </w:pPr>
      <w:rPr>
        <w:rFonts w:ascii="Courier New" w:hAnsi="Courier New" w:cs="Courier New" w:hint="default"/>
      </w:rPr>
    </w:lvl>
    <w:lvl w:ilvl="1" w:tplc="0C090003">
      <w:start w:val="1"/>
      <w:numFmt w:val="bullet"/>
      <w:lvlText w:val="o"/>
      <w:lvlJc w:val="left"/>
      <w:pPr>
        <w:ind w:left="2619" w:hanging="360"/>
      </w:pPr>
      <w:rPr>
        <w:rFonts w:ascii="Courier New" w:hAnsi="Courier New" w:cs="Courier New" w:hint="default"/>
      </w:rPr>
    </w:lvl>
    <w:lvl w:ilvl="2" w:tplc="0C090005" w:tentative="1">
      <w:start w:val="1"/>
      <w:numFmt w:val="bullet"/>
      <w:lvlText w:val=""/>
      <w:lvlJc w:val="left"/>
      <w:pPr>
        <w:ind w:left="3339" w:hanging="360"/>
      </w:pPr>
      <w:rPr>
        <w:rFonts w:ascii="Wingdings" w:hAnsi="Wingdings" w:hint="default"/>
      </w:rPr>
    </w:lvl>
    <w:lvl w:ilvl="3" w:tplc="0C090001" w:tentative="1">
      <w:start w:val="1"/>
      <w:numFmt w:val="bullet"/>
      <w:lvlText w:val=""/>
      <w:lvlJc w:val="left"/>
      <w:pPr>
        <w:ind w:left="4059" w:hanging="360"/>
      </w:pPr>
      <w:rPr>
        <w:rFonts w:ascii="Symbol" w:hAnsi="Symbol" w:hint="default"/>
      </w:rPr>
    </w:lvl>
    <w:lvl w:ilvl="4" w:tplc="0C090003" w:tentative="1">
      <w:start w:val="1"/>
      <w:numFmt w:val="bullet"/>
      <w:lvlText w:val="o"/>
      <w:lvlJc w:val="left"/>
      <w:pPr>
        <w:ind w:left="4779" w:hanging="360"/>
      </w:pPr>
      <w:rPr>
        <w:rFonts w:ascii="Courier New" w:hAnsi="Courier New" w:cs="Courier New" w:hint="default"/>
      </w:rPr>
    </w:lvl>
    <w:lvl w:ilvl="5" w:tplc="0C090005" w:tentative="1">
      <w:start w:val="1"/>
      <w:numFmt w:val="bullet"/>
      <w:lvlText w:val=""/>
      <w:lvlJc w:val="left"/>
      <w:pPr>
        <w:ind w:left="5499" w:hanging="360"/>
      </w:pPr>
      <w:rPr>
        <w:rFonts w:ascii="Wingdings" w:hAnsi="Wingdings" w:hint="default"/>
      </w:rPr>
    </w:lvl>
    <w:lvl w:ilvl="6" w:tplc="0C090001" w:tentative="1">
      <w:start w:val="1"/>
      <w:numFmt w:val="bullet"/>
      <w:lvlText w:val=""/>
      <w:lvlJc w:val="left"/>
      <w:pPr>
        <w:ind w:left="6219" w:hanging="360"/>
      </w:pPr>
      <w:rPr>
        <w:rFonts w:ascii="Symbol" w:hAnsi="Symbol" w:hint="default"/>
      </w:rPr>
    </w:lvl>
    <w:lvl w:ilvl="7" w:tplc="0C090003" w:tentative="1">
      <w:start w:val="1"/>
      <w:numFmt w:val="bullet"/>
      <w:lvlText w:val="o"/>
      <w:lvlJc w:val="left"/>
      <w:pPr>
        <w:ind w:left="6939" w:hanging="360"/>
      </w:pPr>
      <w:rPr>
        <w:rFonts w:ascii="Courier New" w:hAnsi="Courier New" w:cs="Courier New" w:hint="default"/>
      </w:rPr>
    </w:lvl>
    <w:lvl w:ilvl="8" w:tplc="0C090005" w:tentative="1">
      <w:start w:val="1"/>
      <w:numFmt w:val="bullet"/>
      <w:lvlText w:val=""/>
      <w:lvlJc w:val="left"/>
      <w:pPr>
        <w:ind w:left="7659" w:hanging="360"/>
      </w:pPr>
      <w:rPr>
        <w:rFonts w:ascii="Wingdings" w:hAnsi="Wingdings" w:hint="default"/>
      </w:rPr>
    </w:lvl>
  </w:abstractNum>
  <w:abstractNum w:abstractNumId="16" w15:restartNumberingAfterBreak="0">
    <w:nsid w:val="71982BD1"/>
    <w:multiLevelType w:val="hybridMultilevel"/>
    <w:tmpl w:val="3370E14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7" w15:restartNumberingAfterBreak="0">
    <w:nsid w:val="7B96041B"/>
    <w:multiLevelType w:val="hybridMultilevel"/>
    <w:tmpl w:val="979CE01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8" w15:restartNumberingAfterBreak="0">
    <w:nsid w:val="7E96081A"/>
    <w:multiLevelType w:val="hybridMultilevel"/>
    <w:tmpl w:val="1368CB1C"/>
    <w:lvl w:ilvl="0" w:tplc="5FF0EBD6">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12"/>
  </w:num>
  <w:num w:numId="3">
    <w:abstractNumId w:val="14"/>
  </w:num>
  <w:num w:numId="4">
    <w:abstractNumId w:val="6"/>
  </w:num>
  <w:num w:numId="5">
    <w:abstractNumId w:val="9"/>
  </w:num>
  <w:num w:numId="6">
    <w:abstractNumId w:val="2"/>
  </w:num>
  <w:num w:numId="7">
    <w:abstractNumId w:val="0"/>
  </w:num>
  <w:num w:numId="8">
    <w:abstractNumId w:val="17"/>
  </w:num>
  <w:num w:numId="9">
    <w:abstractNumId w:val="7"/>
  </w:num>
  <w:num w:numId="10">
    <w:abstractNumId w:val="5"/>
  </w:num>
  <w:num w:numId="11">
    <w:abstractNumId w:val="16"/>
  </w:num>
  <w:num w:numId="12">
    <w:abstractNumId w:val="3"/>
  </w:num>
  <w:num w:numId="13">
    <w:abstractNumId w:val="10"/>
  </w:num>
  <w:num w:numId="14">
    <w:abstractNumId w:val="13"/>
  </w:num>
  <w:num w:numId="15">
    <w:abstractNumId w:val="1"/>
  </w:num>
  <w:num w:numId="16">
    <w:abstractNumId w:val="15"/>
  </w:num>
  <w:num w:numId="17">
    <w:abstractNumId w:val="8"/>
  </w:num>
  <w:num w:numId="18">
    <w:abstractNumId w:val="18"/>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2FD"/>
    <w:rsid w:val="000344D5"/>
    <w:rsid w:val="001216B0"/>
    <w:rsid w:val="00124FEF"/>
    <w:rsid w:val="004D1F8D"/>
    <w:rsid w:val="005627B0"/>
    <w:rsid w:val="00621F09"/>
    <w:rsid w:val="00655251"/>
    <w:rsid w:val="00766F1E"/>
    <w:rsid w:val="00774BF9"/>
    <w:rsid w:val="007F0E46"/>
    <w:rsid w:val="00812E41"/>
    <w:rsid w:val="008943B8"/>
    <w:rsid w:val="009A61C3"/>
    <w:rsid w:val="00C646ED"/>
    <w:rsid w:val="00C762FD"/>
    <w:rsid w:val="00D00833"/>
    <w:rsid w:val="00D35163"/>
    <w:rsid w:val="00EF3F8E"/>
    <w:rsid w:val="00F707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0495EB-6317-4549-B6D2-2E86B76D6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762FD"/>
    <w:rPr>
      <w:sz w:val="16"/>
      <w:szCs w:val="16"/>
    </w:rPr>
  </w:style>
  <w:style w:type="paragraph" w:styleId="CommentText">
    <w:name w:val="annotation text"/>
    <w:basedOn w:val="Normal"/>
    <w:link w:val="CommentTextChar"/>
    <w:uiPriority w:val="99"/>
    <w:semiHidden/>
    <w:unhideWhenUsed/>
    <w:rsid w:val="00C762FD"/>
    <w:pPr>
      <w:spacing w:line="240" w:lineRule="auto"/>
      <w:jc w:val="both"/>
    </w:pPr>
    <w:rPr>
      <w:rFonts w:ascii="Arial" w:hAnsi="Arial"/>
      <w:sz w:val="20"/>
      <w:szCs w:val="20"/>
    </w:rPr>
  </w:style>
  <w:style w:type="character" w:customStyle="1" w:styleId="CommentTextChar">
    <w:name w:val="Comment Text Char"/>
    <w:basedOn w:val="DefaultParagraphFont"/>
    <w:link w:val="CommentText"/>
    <w:uiPriority w:val="99"/>
    <w:semiHidden/>
    <w:rsid w:val="00C762FD"/>
    <w:rPr>
      <w:rFonts w:ascii="Arial" w:hAnsi="Arial"/>
      <w:sz w:val="20"/>
      <w:szCs w:val="20"/>
    </w:rPr>
  </w:style>
  <w:style w:type="paragraph" w:styleId="BalloonText">
    <w:name w:val="Balloon Text"/>
    <w:basedOn w:val="Normal"/>
    <w:link w:val="BalloonTextChar"/>
    <w:uiPriority w:val="99"/>
    <w:semiHidden/>
    <w:unhideWhenUsed/>
    <w:rsid w:val="00C762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2FD"/>
    <w:rPr>
      <w:rFonts w:ascii="Tahoma" w:hAnsi="Tahoma" w:cs="Tahoma"/>
      <w:sz w:val="16"/>
      <w:szCs w:val="16"/>
    </w:rPr>
  </w:style>
  <w:style w:type="paragraph" w:styleId="EndnoteText">
    <w:name w:val="endnote text"/>
    <w:basedOn w:val="Normal"/>
    <w:link w:val="EndnoteTextChar"/>
    <w:uiPriority w:val="99"/>
    <w:semiHidden/>
    <w:unhideWhenUsed/>
    <w:rsid w:val="00124FE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24FEF"/>
    <w:rPr>
      <w:sz w:val="20"/>
      <w:szCs w:val="20"/>
    </w:rPr>
  </w:style>
  <w:style w:type="character" w:styleId="EndnoteReference">
    <w:name w:val="endnote reference"/>
    <w:basedOn w:val="DefaultParagraphFont"/>
    <w:uiPriority w:val="99"/>
    <w:semiHidden/>
    <w:unhideWhenUsed/>
    <w:rsid w:val="00124FEF"/>
    <w:rPr>
      <w:vertAlign w:val="superscript"/>
    </w:rPr>
  </w:style>
  <w:style w:type="paragraph" w:styleId="FootnoteText">
    <w:name w:val="footnote text"/>
    <w:basedOn w:val="Normal"/>
    <w:link w:val="FootnoteTextChar"/>
    <w:uiPriority w:val="99"/>
    <w:semiHidden/>
    <w:unhideWhenUsed/>
    <w:rsid w:val="00124FE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24FEF"/>
    <w:rPr>
      <w:sz w:val="20"/>
      <w:szCs w:val="20"/>
    </w:rPr>
  </w:style>
  <w:style w:type="character" w:styleId="FootnoteReference">
    <w:name w:val="footnote reference"/>
    <w:basedOn w:val="DefaultParagraphFont"/>
    <w:uiPriority w:val="99"/>
    <w:semiHidden/>
    <w:unhideWhenUsed/>
    <w:rsid w:val="00124FEF"/>
    <w:rPr>
      <w:vertAlign w:val="superscript"/>
    </w:rPr>
  </w:style>
  <w:style w:type="paragraph" w:styleId="ListParagraph">
    <w:name w:val="List Paragraph"/>
    <w:basedOn w:val="Normal"/>
    <w:uiPriority w:val="34"/>
    <w:qFormat/>
    <w:rsid w:val="00124FEF"/>
    <w:pPr>
      <w:ind w:left="720"/>
      <w:contextualSpacing/>
    </w:pPr>
  </w:style>
  <w:style w:type="paragraph" w:styleId="Header">
    <w:name w:val="header"/>
    <w:basedOn w:val="Normal"/>
    <w:link w:val="HeaderChar"/>
    <w:uiPriority w:val="99"/>
    <w:unhideWhenUsed/>
    <w:rsid w:val="000344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44D5"/>
  </w:style>
  <w:style w:type="paragraph" w:styleId="Footer">
    <w:name w:val="footer"/>
    <w:basedOn w:val="Normal"/>
    <w:link w:val="FooterChar"/>
    <w:uiPriority w:val="99"/>
    <w:unhideWhenUsed/>
    <w:rsid w:val="000344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44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sic.gov.au/regulatory-resources/insolvency/insolvency-for-employees/employees-voluntary-administratio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39F6E-EF4D-424B-91E6-62628AC0C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3399</Words>
  <Characters>19378</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Matrix Solutions</Company>
  <LinksUpToDate>false</LinksUpToDate>
  <CharactersWithSpaces>22732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Matrix Administrator</dc:creator>
  <cp:lastModifiedBy>Belinda</cp:lastModifiedBy>
  <cp:revision>2</cp:revision>
  <cp:lastPrinted>2015-11-02T02:17:00Z</cp:lastPrinted>
  <dcterms:created xsi:type="dcterms:W3CDTF">2015-11-08T23:39:00Z</dcterms:created>
  <dcterms:modified xsi:type="dcterms:W3CDTF">2015-11-08T23:39:00Z</dcterms:modified>
</cp:coreProperties>
</file>